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9B0120" w:rsidRDefault="006544C4" w:rsidP="009B0120">
      <w:pPr>
        <w:jc w:val="center"/>
        <w:rPr>
          <w:lang w:val="fr-FR"/>
        </w:rPr>
      </w:pPr>
      <w:bookmarkStart w:id="0" w:name="_GoBack"/>
      <w:bookmarkEnd w:id="0"/>
    </w:p>
    <w:p w:rsidR="0094178F" w:rsidRPr="009B0120" w:rsidRDefault="0094178F" w:rsidP="009B0120">
      <w:pPr>
        <w:jc w:val="center"/>
        <w:rPr>
          <w:sz w:val="4"/>
          <w:szCs w:val="4"/>
          <w:lang w:val="fr-FR"/>
        </w:rPr>
      </w:pPr>
    </w:p>
    <w:p w:rsidR="006544C4" w:rsidRPr="009B0120" w:rsidRDefault="008B783C" w:rsidP="009B0120">
      <w:pPr>
        <w:pStyle w:val="DecHTitle"/>
        <w:rPr>
          <w:lang w:val="fr-FR"/>
        </w:rPr>
      </w:pPr>
      <w:r w:rsidRPr="009B0120">
        <w:rPr>
          <w:szCs w:val="24"/>
          <w:lang w:val="fr-FR"/>
        </w:rPr>
        <w:t>PREMIÈRE SECTION</w:t>
      </w:r>
    </w:p>
    <w:p w:rsidR="006544C4" w:rsidRPr="009B0120" w:rsidRDefault="006544C4" w:rsidP="009B0120">
      <w:pPr>
        <w:pStyle w:val="DecHTitle"/>
        <w:rPr>
          <w:caps/>
          <w:sz w:val="32"/>
          <w:lang w:val="fr-FR"/>
        </w:rPr>
      </w:pPr>
      <w:r w:rsidRPr="009B0120">
        <w:rPr>
          <w:lang w:val="fr-FR"/>
        </w:rPr>
        <w:t>DÉCISION</w:t>
      </w:r>
    </w:p>
    <w:p w:rsidR="006544C4" w:rsidRPr="009B0120" w:rsidRDefault="008B783C" w:rsidP="009B0120">
      <w:pPr>
        <w:pStyle w:val="ECHRTitleCentre2"/>
        <w:rPr>
          <w:i w:val="0"/>
          <w:lang w:val="fr-FR"/>
        </w:rPr>
      </w:pPr>
      <w:r w:rsidRPr="009B0120">
        <w:rPr>
          <w:i w:val="0"/>
          <w:lang w:val="fr-FR"/>
        </w:rPr>
        <w:t>Requête n</w:t>
      </w:r>
      <w:r w:rsidRPr="009B0120">
        <w:rPr>
          <w:i w:val="0"/>
          <w:vertAlign w:val="superscript"/>
          <w:lang w:val="fr-FR"/>
        </w:rPr>
        <w:t>o</w:t>
      </w:r>
      <w:r w:rsidR="006544C4" w:rsidRPr="009B0120">
        <w:rPr>
          <w:i w:val="0"/>
          <w:lang w:val="fr-FR"/>
        </w:rPr>
        <w:t xml:space="preserve"> </w:t>
      </w:r>
      <w:r w:rsidRPr="009B0120">
        <w:rPr>
          <w:i w:val="0"/>
          <w:lang w:val="fr-FR"/>
        </w:rPr>
        <w:t>22783/13</w:t>
      </w:r>
      <w:r w:rsidR="006544C4" w:rsidRPr="009B0120">
        <w:rPr>
          <w:i w:val="0"/>
          <w:lang w:val="fr-FR"/>
        </w:rPr>
        <w:br/>
      </w:r>
      <w:r w:rsidRPr="009B0120">
        <w:rPr>
          <w:i w:val="0"/>
          <w:lang w:val="fr-FR"/>
        </w:rPr>
        <w:t>Antonio PATITUCCI</w:t>
      </w:r>
      <w:r w:rsidRPr="009B0120">
        <w:rPr>
          <w:i w:val="0"/>
          <w:lang w:val="fr-FR"/>
        </w:rPr>
        <w:br/>
      </w:r>
      <w:r w:rsidR="006544C4" w:rsidRPr="009B0120">
        <w:rPr>
          <w:i w:val="0"/>
          <w:lang w:val="fr-FR"/>
        </w:rPr>
        <w:t xml:space="preserve">contre </w:t>
      </w:r>
      <w:r w:rsidRPr="009B0120">
        <w:rPr>
          <w:i w:val="0"/>
          <w:lang w:val="fr-FR"/>
        </w:rPr>
        <w:t>l</w:t>
      </w:r>
      <w:r w:rsidR="009B0120" w:rsidRPr="009B0120">
        <w:rPr>
          <w:i w:val="0"/>
          <w:lang w:val="fr-FR"/>
        </w:rPr>
        <w:t>’</w:t>
      </w:r>
      <w:r w:rsidRPr="009B0120">
        <w:rPr>
          <w:i w:val="0"/>
          <w:lang w:val="fr-FR"/>
        </w:rPr>
        <w:t>Italie</w:t>
      </w:r>
    </w:p>
    <w:p w:rsidR="008B783C" w:rsidRPr="009B0120" w:rsidRDefault="008B783C" w:rsidP="009B0120">
      <w:pPr>
        <w:pStyle w:val="ECHRPara"/>
        <w:rPr>
          <w:lang w:val="fr-FR"/>
        </w:rPr>
      </w:pPr>
      <w:r w:rsidRPr="009B0120">
        <w:rPr>
          <w:lang w:val="fr-FR"/>
        </w:rPr>
        <w:t>La Cour européenne des droits de l</w:t>
      </w:r>
      <w:r w:rsidR="009B0120" w:rsidRPr="009B0120">
        <w:rPr>
          <w:lang w:val="fr-FR"/>
        </w:rPr>
        <w:t>’</w:t>
      </w:r>
      <w:r w:rsidRPr="009B0120">
        <w:rPr>
          <w:lang w:val="fr-FR"/>
        </w:rPr>
        <w:t xml:space="preserve">homme (première section), siégeant le </w:t>
      </w:r>
      <w:r w:rsidR="00A9239B" w:rsidRPr="009B0120">
        <w:rPr>
          <w:lang w:val="fr-FR"/>
        </w:rPr>
        <w:t>4 octobre 2016</w:t>
      </w:r>
      <w:r w:rsidRPr="009B0120">
        <w:rPr>
          <w:lang w:val="fr-FR"/>
        </w:rPr>
        <w:t xml:space="preserve"> en un comité composée de :</w:t>
      </w:r>
    </w:p>
    <w:p w:rsidR="008B783C" w:rsidRPr="009B0120" w:rsidRDefault="00A9239B" w:rsidP="009B0120">
      <w:pPr>
        <w:pStyle w:val="ECHRDecisionBody"/>
        <w:rPr>
          <w:lang w:val="fr-FR"/>
        </w:rPr>
      </w:pPr>
      <w:r w:rsidRPr="009B0120">
        <w:rPr>
          <w:lang w:val="fr-FR"/>
        </w:rPr>
        <w:tab/>
        <w:t>Ledi Bianku,</w:t>
      </w:r>
      <w:r w:rsidRPr="009B0120">
        <w:rPr>
          <w:i/>
          <w:lang w:val="fr-FR"/>
        </w:rPr>
        <w:t xml:space="preserve"> président,</w:t>
      </w:r>
      <w:r w:rsidRPr="009B0120">
        <w:rPr>
          <w:i/>
          <w:lang w:val="fr-FR"/>
        </w:rPr>
        <w:br/>
      </w:r>
      <w:r w:rsidRPr="009B0120">
        <w:rPr>
          <w:lang w:val="fr-FR"/>
        </w:rPr>
        <w:tab/>
        <w:t>Linos-Alexandre Sicilianos,</w:t>
      </w:r>
      <w:r w:rsidRPr="009B0120">
        <w:rPr>
          <w:i/>
          <w:lang w:val="fr-FR"/>
        </w:rPr>
        <w:br/>
      </w:r>
      <w:r w:rsidRPr="009B0120">
        <w:rPr>
          <w:lang w:val="fr-FR"/>
        </w:rPr>
        <w:tab/>
        <w:t>Aleš Pejchal,</w:t>
      </w:r>
      <w:r w:rsidRPr="009B0120">
        <w:rPr>
          <w:i/>
          <w:lang w:val="fr-FR"/>
        </w:rPr>
        <w:t xml:space="preserve"> juges,</w:t>
      </w:r>
      <w:r w:rsidRPr="009B0120">
        <w:rPr>
          <w:i/>
          <w:lang w:val="fr-FR"/>
        </w:rPr>
        <w:br/>
      </w:r>
      <w:r w:rsidR="008B783C" w:rsidRPr="009B0120">
        <w:rPr>
          <w:lang w:val="fr-FR"/>
        </w:rPr>
        <w:t xml:space="preserve">et de Renata Degener, </w:t>
      </w:r>
      <w:r w:rsidR="008B783C" w:rsidRPr="009B0120">
        <w:rPr>
          <w:i/>
          <w:lang w:val="fr-FR"/>
        </w:rPr>
        <w:t>greffière adjointe de section</w:t>
      </w:r>
      <w:r w:rsidR="008B783C" w:rsidRPr="009B0120">
        <w:rPr>
          <w:lang w:val="fr-FR"/>
        </w:rPr>
        <w:t>,</w:t>
      </w:r>
    </w:p>
    <w:p w:rsidR="008B783C" w:rsidRPr="009B0120" w:rsidRDefault="008B783C" w:rsidP="009B0120">
      <w:pPr>
        <w:pStyle w:val="ECHRPara"/>
        <w:rPr>
          <w:lang w:val="fr-FR"/>
        </w:rPr>
      </w:pPr>
      <w:r w:rsidRPr="009B0120">
        <w:rPr>
          <w:lang w:val="fr-FR"/>
        </w:rPr>
        <w:t>Vu la requête susmentionnée introduite le 8 avril 2013,</w:t>
      </w:r>
    </w:p>
    <w:p w:rsidR="008B783C" w:rsidRPr="009B0120" w:rsidRDefault="008B783C" w:rsidP="009B0120">
      <w:pPr>
        <w:pStyle w:val="ECHRPara"/>
        <w:rPr>
          <w:lang w:val="fr-FR"/>
        </w:rPr>
      </w:pPr>
      <w:r w:rsidRPr="009B0120">
        <w:rPr>
          <w:lang w:val="fr-FR"/>
        </w:rPr>
        <w:t>Vu les observations soumises par le gouvernement défendeur et celles présentées en réponse par le requérant,</w:t>
      </w:r>
    </w:p>
    <w:p w:rsidR="008B783C" w:rsidRPr="009B0120" w:rsidRDefault="008B783C" w:rsidP="009B0120">
      <w:pPr>
        <w:pStyle w:val="ECHRPara"/>
        <w:rPr>
          <w:lang w:val="fr-FR"/>
        </w:rPr>
      </w:pPr>
      <w:r w:rsidRPr="009B0120">
        <w:rPr>
          <w:lang w:val="fr-FR"/>
        </w:rPr>
        <w:t>Après en avoir délibéré, rend la décision suivante :</w:t>
      </w:r>
    </w:p>
    <w:p w:rsidR="008B783C" w:rsidRPr="009B0120" w:rsidRDefault="008B783C" w:rsidP="009B0120">
      <w:pPr>
        <w:pStyle w:val="ECHRTitle1"/>
        <w:rPr>
          <w:lang w:val="fr-FR"/>
        </w:rPr>
      </w:pPr>
      <w:r w:rsidRPr="009B0120">
        <w:rPr>
          <w:lang w:val="fr-FR"/>
        </w:rPr>
        <w:t>EN FAIT</w:t>
      </w:r>
    </w:p>
    <w:p w:rsidR="008B783C" w:rsidRPr="009B0120" w:rsidRDefault="008B783C" w:rsidP="009B0120">
      <w:pPr>
        <w:pStyle w:val="ECHRPara"/>
        <w:rPr>
          <w:lang w:val="fr-FR"/>
        </w:rPr>
      </w:pPr>
      <w:r w:rsidRPr="009B0120">
        <w:rPr>
          <w:lang w:val="fr-FR"/>
        </w:rPr>
        <w:t>1.  Le 8 avril 2013, M. Antonio Patitucci (ci-dessous « le requérant ») </w:t>
      </w:r>
      <w:r w:rsidRPr="009B0120">
        <w:rPr>
          <w:lang w:val="fr-FR"/>
        </w:rPr>
        <w:noBreakHyphen/>
        <w:t xml:space="preserve"> ressortissant italien né le 25 février 1956 </w:t>
      </w:r>
      <w:r w:rsidRPr="009B0120">
        <w:rPr>
          <w:lang w:val="fr-FR"/>
        </w:rPr>
        <w:noBreakHyphen/>
        <w:t xml:space="preserve"> introduisit la présente requête devant la Cour. Le 1</w:t>
      </w:r>
      <w:r w:rsidRPr="009B0120">
        <w:rPr>
          <w:vertAlign w:val="superscript"/>
          <w:lang w:val="fr-FR"/>
        </w:rPr>
        <w:t xml:space="preserve">er </w:t>
      </w:r>
      <w:r w:rsidRPr="009B0120">
        <w:rPr>
          <w:lang w:val="fr-FR"/>
        </w:rPr>
        <w:t>février 2014, le requérant décéda.</w:t>
      </w:r>
    </w:p>
    <w:p w:rsidR="008B783C" w:rsidRPr="009B0120" w:rsidRDefault="008B783C" w:rsidP="009B0120">
      <w:pPr>
        <w:pStyle w:val="ECHRPara"/>
        <w:rPr>
          <w:lang w:val="fr-FR"/>
        </w:rPr>
      </w:pPr>
      <w:r w:rsidRPr="009B0120">
        <w:rPr>
          <w:lang w:val="fr-FR"/>
        </w:rPr>
        <w:t>Le 27 février 2014, ses héritiers informèrent la Cour du décès de l</w:t>
      </w:r>
      <w:r w:rsidR="009B0120" w:rsidRPr="009B0120">
        <w:rPr>
          <w:lang w:val="fr-FR"/>
        </w:rPr>
        <w:t>’</w:t>
      </w:r>
      <w:r w:rsidRPr="009B0120">
        <w:rPr>
          <w:lang w:val="fr-FR"/>
        </w:rPr>
        <w:t>intéressé et exprimèrent le souhait de continuer la procédure à Strasbourg, représentés par M</w:t>
      </w:r>
      <w:r w:rsidRPr="009B0120">
        <w:rPr>
          <w:vertAlign w:val="superscript"/>
          <w:lang w:val="fr-FR"/>
        </w:rPr>
        <w:t>e</w:t>
      </w:r>
      <w:r w:rsidRPr="009B0120">
        <w:rPr>
          <w:lang w:val="fr-FR"/>
        </w:rPr>
        <w:t> A.L. La Grotteria, avocat à Rende.</w:t>
      </w:r>
    </w:p>
    <w:p w:rsidR="008B783C" w:rsidRPr="009B0120" w:rsidRDefault="008B783C" w:rsidP="009B0120">
      <w:pPr>
        <w:pStyle w:val="ECHRPara"/>
        <w:rPr>
          <w:lang w:val="fr-FR"/>
        </w:rPr>
      </w:pPr>
      <w:r w:rsidRPr="009B0120">
        <w:rPr>
          <w:lang w:val="fr-FR"/>
        </w:rPr>
        <w:t>2.  Le gouvernement italien (« le Gouvernement ») est représenté par son agent, Mme E. Spatafora.</w:t>
      </w:r>
    </w:p>
    <w:p w:rsidR="008B783C" w:rsidRPr="009B0120" w:rsidRDefault="008B783C" w:rsidP="009B0120">
      <w:pPr>
        <w:pStyle w:val="ECHRHeading2"/>
        <w:rPr>
          <w:lang w:val="fr-FR"/>
        </w:rPr>
      </w:pPr>
      <w:r w:rsidRPr="009B0120">
        <w:rPr>
          <w:lang w:val="fr-FR"/>
        </w:rPr>
        <w:t>A.  Les circonstances de l</w:t>
      </w:r>
      <w:r w:rsidR="009B0120" w:rsidRPr="009B0120">
        <w:rPr>
          <w:lang w:val="fr-FR"/>
        </w:rPr>
        <w:t>’</w:t>
      </w:r>
      <w:r w:rsidRPr="009B0120">
        <w:rPr>
          <w:lang w:val="fr-FR"/>
        </w:rPr>
        <w:t>espèce</w:t>
      </w:r>
    </w:p>
    <w:p w:rsidR="000E2C3F" w:rsidRPr="009B0120" w:rsidRDefault="008B783C" w:rsidP="009B0120">
      <w:pPr>
        <w:pStyle w:val="ECHRPara"/>
        <w:rPr>
          <w:lang w:val="fr-FR"/>
        </w:rPr>
      </w:pPr>
      <w:r w:rsidRPr="009B0120">
        <w:rPr>
          <w:lang w:val="fr-FR"/>
        </w:rPr>
        <w:t>3.  Les faits de la cause, tels qu</w:t>
      </w:r>
      <w:r w:rsidR="009B0120" w:rsidRPr="009B0120">
        <w:rPr>
          <w:lang w:val="fr-FR"/>
        </w:rPr>
        <w:t>’</w:t>
      </w:r>
      <w:r w:rsidRPr="009B0120">
        <w:rPr>
          <w:lang w:val="fr-FR"/>
        </w:rPr>
        <w:t>ils ont été exposés par les parties, peuvent se résumer comme suit.</w:t>
      </w:r>
    </w:p>
    <w:p w:rsidR="008B783C" w:rsidRPr="009B0120" w:rsidRDefault="008B783C" w:rsidP="009B0120">
      <w:pPr>
        <w:pStyle w:val="ECHRPara"/>
        <w:rPr>
          <w:lang w:val="fr-FR"/>
        </w:rPr>
      </w:pPr>
      <w:r w:rsidRPr="009B0120">
        <w:rPr>
          <w:lang w:val="fr-FR"/>
        </w:rPr>
        <w:lastRenderedPageBreak/>
        <w:t>4.  Arrêté en 2008 afin de purger une peine d</w:t>
      </w:r>
      <w:r w:rsidR="009B0120" w:rsidRPr="009B0120">
        <w:rPr>
          <w:lang w:val="fr-FR"/>
        </w:rPr>
        <w:t>’</w:t>
      </w:r>
      <w:r w:rsidRPr="009B0120">
        <w:rPr>
          <w:lang w:val="fr-FR"/>
        </w:rPr>
        <w:t>emprisonnement, le requérant fut détenu dans les établissements pénitentiaires de Cosenza, Vibo Valentia, Rome Rebibbia. Ci-dessous la chronolo</w:t>
      </w:r>
      <w:r w:rsidR="00B52DDE" w:rsidRPr="009B0120">
        <w:rPr>
          <w:lang w:val="fr-FR"/>
        </w:rPr>
        <w:t>gie des placements en détention </w:t>
      </w:r>
      <w:r w:rsidRPr="009B0120">
        <w:rPr>
          <w:lang w:val="fr-FR"/>
        </w:rPr>
        <w:t>:</w:t>
      </w:r>
    </w:p>
    <w:p w:rsidR="008B783C" w:rsidRPr="009B0120" w:rsidRDefault="008B783C" w:rsidP="009B0120">
      <w:pPr>
        <w:pStyle w:val="JuLista"/>
        <w:rPr>
          <w:lang w:val="fr-FR"/>
        </w:rPr>
      </w:pPr>
      <w:r w:rsidRPr="009B0120">
        <w:rPr>
          <w:lang w:val="fr-FR"/>
        </w:rPr>
        <w:t>a)  du 26 août 2008 au 8 janvier 2009, détenu à Cosenza ;</w:t>
      </w:r>
    </w:p>
    <w:p w:rsidR="008B783C" w:rsidRPr="009B0120" w:rsidRDefault="008B783C" w:rsidP="009B0120">
      <w:pPr>
        <w:pStyle w:val="JuLista"/>
        <w:rPr>
          <w:lang w:val="fr-FR"/>
        </w:rPr>
      </w:pPr>
      <w:r w:rsidRPr="009B0120">
        <w:rPr>
          <w:lang w:val="fr-FR"/>
        </w:rPr>
        <w:t>b)  du 8 janvier 2009 au 23 juin 2009 : détention à domicile ;</w:t>
      </w:r>
    </w:p>
    <w:p w:rsidR="008B783C" w:rsidRPr="009B0120" w:rsidRDefault="008B783C" w:rsidP="009B0120">
      <w:pPr>
        <w:pStyle w:val="JuLista"/>
        <w:rPr>
          <w:lang w:val="fr-FR"/>
        </w:rPr>
      </w:pPr>
      <w:r w:rsidRPr="009B0120">
        <w:rPr>
          <w:lang w:val="fr-FR"/>
        </w:rPr>
        <w:t>c)  du 23 juin 2009 au 6 avril 2010 : détenu à Cosenza ;</w:t>
      </w:r>
    </w:p>
    <w:p w:rsidR="008B783C" w:rsidRPr="009B0120" w:rsidRDefault="008B783C" w:rsidP="009B0120">
      <w:pPr>
        <w:pStyle w:val="JuLista"/>
        <w:rPr>
          <w:lang w:val="fr-FR"/>
        </w:rPr>
      </w:pPr>
      <w:r w:rsidRPr="009B0120">
        <w:rPr>
          <w:lang w:val="fr-FR"/>
        </w:rPr>
        <w:t>d)  du 6 au 19 avril 2010: détenu à Vibo Valentia ;</w:t>
      </w:r>
    </w:p>
    <w:p w:rsidR="008B783C" w:rsidRPr="009B0120" w:rsidRDefault="008B783C" w:rsidP="009B0120">
      <w:pPr>
        <w:pStyle w:val="JuLista"/>
        <w:rPr>
          <w:lang w:val="fr-FR"/>
        </w:rPr>
      </w:pPr>
      <w:r w:rsidRPr="009B0120">
        <w:rPr>
          <w:lang w:val="fr-FR"/>
        </w:rPr>
        <w:t>e)  du 19 avril 2010 au 19 février 2011 : détenu à Cosenza ;</w:t>
      </w:r>
    </w:p>
    <w:p w:rsidR="008B783C" w:rsidRPr="009B0120" w:rsidRDefault="008B783C" w:rsidP="009B0120">
      <w:pPr>
        <w:pStyle w:val="JuLista"/>
        <w:rPr>
          <w:lang w:val="fr-FR"/>
        </w:rPr>
      </w:pPr>
      <w:r w:rsidRPr="009B0120">
        <w:rPr>
          <w:lang w:val="fr-FR"/>
        </w:rPr>
        <w:t>f)  19 février 2011 au 14 mars 2011 : détenu à Vibo Valentia ;</w:t>
      </w:r>
    </w:p>
    <w:p w:rsidR="008B783C" w:rsidRPr="009B0120" w:rsidRDefault="008B783C" w:rsidP="009B0120">
      <w:pPr>
        <w:pStyle w:val="JuLista"/>
        <w:rPr>
          <w:lang w:val="fr-FR"/>
        </w:rPr>
      </w:pPr>
      <w:r w:rsidRPr="009B0120">
        <w:rPr>
          <w:lang w:val="fr-FR"/>
        </w:rPr>
        <w:t>g)  14 mars 2011 au 16 février 2012 : détenu à Cosenza ;</w:t>
      </w:r>
    </w:p>
    <w:p w:rsidR="008B783C" w:rsidRPr="009B0120" w:rsidRDefault="008B783C" w:rsidP="009B0120">
      <w:pPr>
        <w:pStyle w:val="JuLista"/>
        <w:rPr>
          <w:lang w:val="fr-FR"/>
        </w:rPr>
      </w:pPr>
      <w:r w:rsidRPr="009B0120">
        <w:rPr>
          <w:lang w:val="fr-FR"/>
        </w:rPr>
        <w:t>h)  transféré à Rome Rebibbia le 17 février 2012 ;</w:t>
      </w:r>
    </w:p>
    <w:p w:rsidR="008B783C" w:rsidRPr="009B0120" w:rsidRDefault="008B783C" w:rsidP="009B0120">
      <w:pPr>
        <w:pStyle w:val="JuLista"/>
        <w:rPr>
          <w:lang w:val="fr-FR"/>
        </w:rPr>
      </w:pPr>
      <w:r w:rsidRPr="009B0120">
        <w:rPr>
          <w:lang w:val="fr-FR"/>
        </w:rPr>
        <w:t>g)  hospitalisé à l</w:t>
      </w:r>
      <w:r w:rsidR="009B0120" w:rsidRPr="009B0120">
        <w:rPr>
          <w:lang w:val="fr-FR"/>
        </w:rPr>
        <w:t>’</w:t>
      </w:r>
      <w:r w:rsidRPr="009B0120">
        <w:rPr>
          <w:lang w:val="fr-FR"/>
        </w:rPr>
        <w:t>hôpital de Rome</w:t>
      </w:r>
      <w:r w:rsidR="000E2C3F" w:rsidRPr="009B0120">
        <w:rPr>
          <w:lang w:val="fr-FR"/>
        </w:rPr>
        <w:t xml:space="preserve"> S. Pertini du 24 octobre au 10 </w:t>
      </w:r>
      <w:r w:rsidRPr="009B0120">
        <w:rPr>
          <w:lang w:val="fr-FR"/>
        </w:rPr>
        <w:t>novembre 2012 ;</w:t>
      </w:r>
    </w:p>
    <w:p w:rsidR="008B783C" w:rsidRPr="009B0120" w:rsidRDefault="008B783C" w:rsidP="009B0120">
      <w:pPr>
        <w:pStyle w:val="JuLista"/>
        <w:rPr>
          <w:lang w:val="fr-FR"/>
        </w:rPr>
      </w:pPr>
      <w:r w:rsidRPr="009B0120">
        <w:rPr>
          <w:lang w:val="fr-FR"/>
        </w:rPr>
        <w:t>h)  retour à la prison de Rome Rebibbia pour onze jours ;</w:t>
      </w:r>
    </w:p>
    <w:p w:rsidR="008B783C" w:rsidRPr="009B0120" w:rsidRDefault="008B783C" w:rsidP="009B0120">
      <w:pPr>
        <w:pStyle w:val="JuLista"/>
        <w:rPr>
          <w:lang w:val="fr-FR"/>
        </w:rPr>
      </w:pPr>
      <w:r w:rsidRPr="009B0120">
        <w:rPr>
          <w:lang w:val="fr-FR"/>
        </w:rPr>
        <w:t>i)  21 novembre fin de la détention en prison. Détention à domicile.</w:t>
      </w:r>
    </w:p>
    <w:p w:rsidR="000E2C3F" w:rsidRPr="009B0120" w:rsidRDefault="008B783C" w:rsidP="009B0120">
      <w:pPr>
        <w:pStyle w:val="ECHRPara"/>
        <w:rPr>
          <w:lang w:val="fr-FR"/>
        </w:rPr>
      </w:pPr>
      <w:r w:rsidRPr="009B0120">
        <w:rPr>
          <w:lang w:val="fr-FR"/>
        </w:rPr>
        <w:t>5.  Le requérant a allégué avoir vécu dans des conditions de surpeuplement carcéral et a fourni les indications suivantes. À la prison de Cosenza, il aurait été placé en cellule n</w:t>
      </w:r>
      <w:r w:rsidR="000E2C3F" w:rsidRPr="009B0120">
        <w:rPr>
          <w:vertAlign w:val="superscript"/>
          <w:lang w:val="fr-FR"/>
        </w:rPr>
        <w:t>o</w:t>
      </w:r>
      <w:r w:rsidRPr="009B0120">
        <w:rPr>
          <w:lang w:val="fr-FR"/>
        </w:rPr>
        <w:t xml:space="preserve"> 1, occupée par 7 détenus, chacun disposant de 5 mètres carrés ; puis en cellule n</w:t>
      </w:r>
      <w:r w:rsidR="000E2C3F" w:rsidRPr="009B0120">
        <w:rPr>
          <w:vertAlign w:val="superscript"/>
          <w:lang w:val="fr-FR"/>
        </w:rPr>
        <w:t>o</w:t>
      </w:r>
      <w:r w:rsidRPr="009B0120">
        <w:rPr>
          <w:lang w:val="fr-FR"/>
        </w:rPr>
        <w:t xml:space="preserve"> 2, occupée par 7 détenus, chacun disposant de 4 mètres carrés ; successivement, il aurait été placé dans les cellules n</w:t>
      </w:r>
      <w:r w:rsidR="000E2C3F" w:rsidRPr="009B0120">
        <w:rPr>
          <w:vertAlign w:val="superscript"/>
          <w:lang w:val="fr-FR"/>
        </w:rPr>
        <w:t>o</w:t>
      </w:r>
      <w:r w:rsidRPr="009B0120">
        <w:rPr>
          <w:lang w:val="fr-FR"/>
        </w:rPr>
        <w:t xml:space="preserve"> 7 et n</w:t>
      </w:r>
      <w:r w:rsidR="000E2C3F" w:rsidRPr="009B0120">
        <w:rPr>
          <w:vertAlign w:val="superscript"/>
          <w:lang w:val="fr-FR"/>
        </w:rPr>
        <w:t>o</w:t>
      </w:r>
      <w:r w:rsidRPr="009B0120">
        <w:rPr>
          <w:lang w:val="fr-FR"/>
        </w:rPr>
        <w:t xml:space="preserve"> 8, longues 3 mètres, et occupées par trois ou quatre détenus. Aucune indication n</w:t>
      </w:r>
      <w:r w:rsidR="009B0120" w:rsidRPr="009B0120">
        <w:rPr>
          <w:lang w:val="fr-FR"/>
        </w:rPr>
        <w:t>’</w:t>
      </w:r>
      <w:r w:rsidRPr="009B0120">
        <w:rPr>
          <w:lang w:val="fr-FR"/>
        </w:rPr>
        <w:t>a été fournie sur les périodes passées à la prison de Vibo Valentia. À la prison de Rome Rebibbia, le requérant aurait été initialement placé en cellule de transit pour treize jours ; puis, dans une cellule occupée par 7 détenus, disposant chacun de 4 mètres carrés ; ensuite, dans la cellule G11 pour trois jours et puis en cellule 12, occupée par 4 personnes disposant de 4 mètres carrés chacune.</w:t>
      </w:r>
    </w:p>
    <w:p w:rsidR="008B783C" w:rsidRPr="009B0120" w:rsidRDefault="008B783C" w:rsidP="009B0120">
      <w:pPr>
        <w:pStyle w:val="ECHRPara"/>
        <w:rPr>
          <w:lang w:val="fr-FR"/>
        </w:rPr>
      </w:pPr>
      <w:r w:rsidRPr="009B0120">
        <w:rPr>
          <w:lang w:val="fr-FR"/>
        </w:rPr>
        <w:t>Le requérant n</w:t>
      </w:r>
      <w:r w:rsidR="009B0120" w:rsidRPr="009B0120">
        <w:rPr>
          <w:lang w:val="fr-FR"/>
        </w:rPr>
        <w:t>’</w:t>
      </w:r>
      <w:r w:rsidRPr="009B0120">
        <w:rPr>
          <w:lang w:val="fr-FR"/>
        </w:rPr>
        <w:t>a pas fourni d</w:t>
      </w:r>
      <w:r w:rsidR="009B0120" w:rsidRPr="009B0120">
        <w:rPr>
          <w:lang w:val="fr-FR"/>
        </w:rPr>
        <w:t>’</w:t>
      </w:r>
      <w:r w:rsidRPr="009B0120">
        <w:rPr>
          <w:lang w:val="fr-FR"/>
        </w:rPr>
        <w:t>indications sur la période allant du 10 novembre 2012</w:t>
      </w:r>
      <w:r w:rsidRPr="009B0120">
        <w:rPr>
          <w:b/>
          <w:lang w:val="fr-FR"/>
        </w:rPr>
        <w:t xml:space="preserve">, </w:t>
      </w:r>
      <w:r w:rsidRPr="009B0120">
        <w:rPr>
          <w:lang w:val="fr-FR"/>
        </w:rPr>
        <w:t>jour où</w:t>
      </w:r>
      <w:r w:rsidRPr="009B0120">
        <w:rPr>
          <w:b/>
          <w:lang w:val="fr-FR"/>
        </w:rPr>
        <w:t xml:space="preserve"> </w:t>
      </w:r>
      <w:r w:rsidRPr="009B0120">
        <w:rPr>
          <w:lang w:val="fr-FR"/>
        </w:rPr>
        <w:t>il sortit</w:t>
      </w:r>
      <w:r w:rsidRPr="009B0120">
        <w:rPr>
          <w:b/>
          <w:lang w:val="fr-FR"/>
        </w:rPr>
        <w:t xml:space="preserve"> </w:t>
      </w:r>
      <w:r w:rsidRPr="009B0120">
        <w:rPr>
          <w:lang w:val="fr-FR"/>
        </w:rPr>
        <w:t>de l</w:t>
      </w:r>
      <w:r w:rsidR="009B0120" w:rsidRPr="009B0120">
        <w:rPr>
          <w:lang w:val="fr-FR"/>
        </w:rPr>
        <w:t>’</w:t>
      </w:r>
      <w:r w:rsidRPr="009B0120">
        <w:rPr>
          <w:lang w:val="fr-FR"/>
        </w:rPr>
        <w:t>hôpital de Rome, et le 21 novembre 2012, date à laquelle l</w:t>
      </w:r>
      <w:r w:rsidR="009B0120" w:rsidRPr="009B0120">
        <w:rPr>
          <w:lang w:val="fr-FR"/>
        </w:rPr>
        <w:t>’</w:t>
      </w:r>
      <w:r w:rsidRPr="009B0120">
        <w:rPr>
          <w:lang w:val="fr-FR"/>
        </w:rPr>
        <w:t>emprisonnement se termina et le requérant fut placé en détention domiciliaire.</w:t>
      </w:r>
    </w:p>
    <w:p w:rsidR="000E2C3F" w:rsidRPr="009B0120" w:rsidRDefault="008B783C" w:rsidP="009B0120">
      <w:pPr>
        <w:pStyle w:val="ECHRPara"/>
        <w:rPr>
          <w:lang w:val="fr-FR"/>
        </w:rPr>
      </w:pPr>
      <w:r w:rsidRPr="009B0120">
        <w:rPr>
          <w:lang w:val="fr-FR"/>
        </w:rPr>
        <w:t>6.  S</w:t>
      </w:r>
      <w:r w:rsidR="009B0120" w:rsidRPr="009B0120">
        <w:rPr>
          <w:lang w:val="fr-FR"/>
        </w:rPr>
        <w:t>’</w:t>
      </w:r>
      <w:r w:rsidRPr="009B0120">
        <w:rPr>
          <w:lang w:val="fr-FR"/>
        </w:rPr>
        <w:t>agissant de l</w:t>
      </w:r>
      <w:r w:rsidR="009B0120" w:rsidRPr="009B0120">
        <w:rPr>
          <w:lang w:val="fr-FR"/>
        </w:rPr>
        <w:t>’</w:t>
      </w:r>
      <w:r w:rsidRPr="009B0120">
        <w:rPr>
          <w:lang w:val="fr-FR"/>
        </w:rPr>
        <w:t>état de santé du requérant, en septembre 2010, il présenta une paralysie de la moitié du visage. Pendant plus de deux ans, il fut traité par des thérapies qui n</w:t>
      </w:r>
      <w:r w:rsidR="009B0120" w:rsidRPr="009B0120">
        <w:rPr>
          <w:lang w:val="fr-FR"/>
        </w:rPr>
        <w:t>’</w:t>
      </w:r>
      <w:r w:rsidRPr="009B0120">
        <w:rPr>
          <w:lang w:val="fr-FR"/>
        </w:rPr>
        <w:t>eurent aucun effet (notamment physiothérapie et rééducation).</w:t>
      </w:r>
    </w:p>
    <w:p w:rsidR="000E2C3F" w:rsidRPr="009B0120" w:rsidRDefault="008B783C" w:rsidP="009B0120">
      <w:pPr>
        <w:pStyle w:val="ECHRPara"/>
        <w:rPr>
          <w:lang w:val="fr-FR"/>
        </w:rPr>
      </w:pPr>
      <w:r w:rsidRPr="009B0120">
        <w:rPr>
          <w:lang w:val="fr-FR"/>
        </w:rPr>
        <w:t>7.  Le premier examen par résonance magnétique (IRM) fut effectué en 2012 ; cet examen mit en évidence une tumeur à la tête (diagnostiqué comme étant un méningiome) de 4 centimètres, qui avait causé la compression des nerfs et provoqué la paralysie faciale. Compte tenu de la taille et de la position de la tumeur, une intervention chirurgicale était très dangereuse, et le requérant ne fut pas opéré.</w:t>
      </w:r>
    </w:p>
    <w:p w:rsidR="008B783C" w:rsidRPr="009B0120" w:rsidRDefault="008B783C" w:rsidP="009B0120">
      <w:pPr>
        <w:pStyle w:val="ECHRPara"/>
        <w:rPr>
          <w:lang w:val="fr-FR"/>
        </w:rPr>
      </w:pPr>
      <w:r w:rsidRPr="009B0120">
        <w:rPr>
          <w:lang w:val="fr-FR"/>
        </w:rPr>
        <w:t xml:space="preserve">8.  Il ressort du dossier que le requérant avait demandé à plusieurs reprises à être placé en détention à son domicile en raison de son état de </w:t>
      </w:r>
      <w:r w:rsidRPr="009B0120">
        <w:rPr>
          <w:lang w:val="fr-FR"/>
        </w:rPr>
        <w:lastRenderedPageBreak/>
        <w:t>santé. Ses demandes furent rejetées (le 27 juillet et le 25 octobre 2011, par le juge d</w:t>
      </w:r>
      <w:r w:rsidR="009B0120" w:rsidRPr="009B0120">
        <w:rPr>
          <w:lang w:val="fr-FR"/>
        </w:rPr>
        <w:t>’</w:t>
      </w:r>
      <w:r w:rsidRPr="009B0120">
        <w:rPr>
          <w:lang w:val="fr-FR"/>
        </w:rPr>
        <w:t>application des peines de Cosenza, et puis le 19 janvier 2012, par le tribunal d</w:t>
      </w:r>
      <w:r w:rsidR="009B0120" w:rsidRPr="009B0120">
        <w:rPr>
          <w:lang w:val="fr-FR"/>
        </w:rPr>
        <w:t>’</w:t>
      </w:r>
      <w:r w:rsidRPr="009B0120">
        <w:rPr>
          <w:lang w:val="fr-FR"/>
        </w:rPr>
        <w:t>application des peines de Catanzaro) au motif que l</w:t>
      </w:r>
      <w:r w:rsidR="009B0120" w:rsidRPr="009B0120">
        <w:rPr>
          <w:lang w:val="fr-FR"/>
        </w:rPr>
        <w:t>’</w:t>
      </w:r>
      <w:r w:rsidRPr="009B0120">
        <w:rPr>
          <w:lang w:val="fr-FR"/>
        </w:rPr>
        <w:t>état de santé du requérant n</w:t>
      </w:r>
      <w:r w:rsidR="009B0120" w:rsidRPr="009B0120">
        <w:rPr>
          <w:lang w:val="fr-FR"/>
        </w:rPr>
        <w:t>’</w:t>
      </w:r>
      <w:r w:rsidRPr="009B0120">
        <w:rPr>
          <w:lang w:val="fr-FR"/>
        </w:rPr>
        <w:t>était pas grave, que sa pathologie de nature neurologique était stabilisée et que le maintien en détention n</w:t>
      </w:r>
      <w:r w:rsidR="009B0120" w:rsidRPr="009B0120">
        <w:rPr>
          <w:lang w:val="fr-FR"/>
        </w:rPr>
        <w:t>’</w:t>
      </w:r>
      <w:r w:rsidRPr="009B0120">
        <w:rPr>
          <w:lang w:val="fr-FR"/>
        </w:rPr>
        <w:t>aggraverait pas la situation.</w:t>
      </w:r>
    </w:p>
    <w:p w:rsidR="008B783C" w:rsidRPr="009B0120" w:rsidRDefault="008B783C" w:rsidP="009B0120">
      <w:pPr>
        <w:pStyle w:val="ECHRPara"/>
        <w:rPr>
          <w:lang w:val="fr-FR"/>
        </w:rPr>
      </w:pPr>
      <w:r w:rsidRPr="009B0120">
        <w:rPr>
          <w:lang w:val="fr-FR"/>
        </w:rPr>
        <w:t>9.  Le 24 octobre 2012, le requérant fut hospitalisé en raison d</w:t>
      </w:r>
      <w:r w:rsidR="009B0120" w:rsidRPr="009B0120">
        <w:rPr>
          <w:lang w:val="fr-FR"/>
        </w:rPr>
        <w:t>’</w:t>
      </w:r>
      <w:r w:rsidRPr="009B0120">
        <w:rPr>
          <w:lang w:val="fr-FR"/>
        </w:rPr>
        <w:t>une céphalée persistante, d</w:t>
      </w:r>
      <w:r w:rsidR="009B0120" w:rsidRPr="009B0120">
        <w:rPr>
          <w:lang w:val="fr-FR"/>
        </w:rPr>
        <w:t>’</w:t>
      </w:r>
      <w:r w:rsidRPr="009B0120">
        <w:rPr>
          <w:lang w:val="fr-FR"/>
        </w:rPr>
        <w:t>une douleur à l</w:t>
      </w:r>
      <w:r w:rsidR="009B0120" w:rsidRPr="009B0120">
        <w:rPr>
          <w:lang w:val="fr-FR"/>
        </w:rPr>
        <w:t>’</w:t>
      </w:r>
      <w:r w:rsidRPr="009B0120">
        <w:rPr>
          <w:lang w:val="fr-FR"/>
        </w:rPr>
        <w:t>articulation temporo-mandibulaire droite et de disfonctionnements de la mastication, d</w:t>
      </w:r>
      <w:r w:rsidR="009B0120" w:rsidRPr="009B0120">
        <w:rPr>
          <w:lang w:val="fr-FR"/>
        </w:rPr>
        <w:t>’</w:t>
      </w:r>
      <w:r w:rsidRPr="009B0120">
        <w:rPr>
          <w:lang w:val="fr-FR"/>
        </w:rPr>
        <w:t>une nausée et de l</w:t>
      </w:r>
      <w:r w:rsidR="009B0120" w:rsidRPr="009B0120">
        <w:rPr>
          <w:lang w:val="fr-FR"/>
        </w:rPr>
        <w:t>’</w:t>
      </w:r>
      <w:r w:rsidRPr="009B0120">
        <w:rPr>
          <w:lang w:val="fr-FR"/>
        </w:rPr>
        <w:t xml:space="preserve">empirement du </w:t>
      </w:r>
      <w:r w:rsidRPr="009B0120">
        <w:rPr>
          <w:i/>
          <w:lang w:val="fr-FR"/>
        </w:rPr>
        <w:t>visus</w:t>
      </w:r>
      <w:r w:rsidRPr="009B0120">
        <w:rPr>
          <w:lang w:val="fr-FR"/>
        </w:rPr>
        <w:t xml:space="preserve"> de l</w:t>
      </w:r>
      <w:r w:rsidR="009B0120" w:rsidRPr="009B0120">
        <w:rPr>
          <w:lang w:val="fr-FR"/>
        </w:rPr>
        <w:t>’</w:t>
      </w:r>
      <w:r w:rsidRPr="009B0120">
        <w:rPr>
          <w:lang w:val="fr-FR"/>
        </w:rPr>
        <w:t>œil droit. Les médecins de l</w:t>
      </w:r>
      <w:r w:rsidR="009B0120" w:rsidRPr="009B0120">
        <w:rPr>
          <w:lang w:val="fr-FR"/>
        </w:rPr>
        <w:t>’</w:t>
      </w:r>
      <w:r w:rsidRPr="009B0120">
        <w:rPr>
          <w:lang w:val="fr-FR"/>
        </w:rPr>
        <w:t>hôpital effectuèrent une IRM et un scanner. À la suite de ces examens le diagnostic fut confirmé. Il fut décidé de refaire ces examens après quelques mois et, en attendant, d</w:t>
      </w:r>
      <w:r w:rsidR="009B0120" w:rsidRPr="009B0120">
        <w:rPr>
          <w:lang w:val="fr-FR"/>
        </w:rPr>
        <w:t>’</w:t>
      </w:r>
      <w:r w:rsidRPr="009B0120">
        <w:rPr>
          <w:lang w:val="fr-FR"/>
        </w:rPr>
        <w:t>administrer au requérant une thérapie antalgique à base d</w:t>
      </w:r>
      <w:r w:rsidR="009B0120" w:rsidRPr="009B0120">
        <w:rPr>
          <w:lang w:val="fr-FR"/>
        </w:rPr>
        <w:t>’</w:t>
      </w:r>
      <w:r w:rsidRPr="009B0120">
        <w:rPr>
          <w:lang w:val="fr-FR"/>
        </w:rPr>
        <w:t>opioïdes et neuroleptiques.</w:t>
      </w:r>
    </w:p>
    <w:p w:rsidR="008B783C" w:rsidRPr="009B0120" w:rsidRDefault="008B783C" w:rsidP="009B0120">
      <w:pPr>
        <w:pStyle w:val="ECHRPara"/>
        <w:rPr>
          <w:lang w:val="fr-FR"/>
        </w:rPr>
      </w:pPr>
      <w:r w:rsidRPr="009B0120">
        <w:rPr>
          <w:lang w:val="fr-FR"/>
        </w:rPr>
        <w:t>10.  Le 10 novembre 2012, le requérant sortit de l</w:t>
      </w:r>
      <w:r w:rsidR="009B0120" w:rsidRPr="009B0120">
        <w:rPr>
          <w:lang w:val="fr-FR"/>
        </w:rPr>
        <w:t>’</w:t>
      </w:r>
      <w:r w:rsidRPr="009B0120">
        <w:rPr>
          <w:lang w:val="fr-FR"/>
        </w:rPr>
        <w:t>hôpital et fut placé à la prison de Rome Rebibbia. Il réitéra sa demande de placement en détention à son domicile.</w:t>
      </w:r>
    </w:p>
    <w:p w:rsidR="000E2C3F" w:rsidRPr="009B0120" w:rsidRDefault="008B783C" w:rsidP="009B0120">
      <w:pPr>
        <w:pStyle w:val="ECHRPara"/>
        <w:rPr>
          <w:b/>
          <w:lang w:val="fr-FR"/>
        </w:rPr>
      </w:pPr>
      <w:r w:rsidRPr="009B0120">
        <w:rPr>
          <w:lang w:val="fr-FR"/>
        </w:rPr>
        <w:t>11.  Un avis médical daté du 13 novembre 2012, fit état de ce que l</w:t>
      </w:r>
      <w:r w:rsidR="009B0120" w:rsidRPr="009B0120">
        <w:rPr>
          <w:lang w:val="fr-FR"/>
        </w:rPr>
        <w:t>’</w:t>
      </w:r>
      <w:r w:rsidRPr="009B0120">
        <w:rPr>
          <w:lang w:val="fr-FR"/>
        </w:rPr>
        <w:t>état de santé du requérant était médiocre et qu</w:t>
      </w:r>
      <w:r w:rsidR="009B0120" w:rsidRPr="009B0120">
        <w:rPr>
          <w:lang w:val="fr-FR"/>
        </w:rPr>
        <w:t>’</w:t>
      </w:r>
      <w:r w:rsidRPr="009B0120">
        <w:rPr>
          <w:lang w:val="fr-FR"/>
        </w:rPr>
        <w:t>il était susceptible de s</w:t>
      </w:r>
      <w:r w:rsidR="009B0120" w:rsidRPr="009B0120">
        <w:rPr>
          <w:lang w:val="fr-FR"/>
        </w:rPr>
        <w:t>’</w:t>
      </w:r>
      <w:r w:rsidRPr="009B0120">
        <w:rPr>
          <w:lang w:val="fr-FR"/>
        </w:rPr>
        <w:t>aggraver. Il était trop difficile de gérer cette situation au sein d</w:t>
      </w:r>
      <w:r w:rsidR="009B0120" w:rsidRPr="009B0120">
        <w:rPr>
          <w:lang w:val="fr-FR"/>
        </w:rPr>
        <w:t>’</w:t>
      </w:r>
      <w:r w:rsidRPr="009B0120">
        <w:rPr>
          <w:lang w:val="fr-FR"/>
        </w:rPr>
        <w:t>un établissement pénitentiaire, car il était nécessaire d</w:t>
      </w:r>
      <w:r w:rsidR="009B0120" w:rsidRPr="009B0120">
        <w:rPr>
          <w:lang w:val="fr-FR"/>
        </w:rPr>
        <w:t>’</w:t>
      </w:r>
      <w:r w:rsidRPr="009B0120">
        <w:rPr>
          <w:lang w:val="fr-FR"/>
        </w:rPr>
        <w:t>être constamment en contact avec des centres de soins extérieurs. Sur la base de cet avis médical, le tribunal d</w:t>
      </w:r>
      <w:r w:rsidR="009B0120" w:rsidRPr="009B0120">
        <w:rPr>
          <w:lang w:val="fr-FR"/>
        </w:rPr>
        <w:t>’</w:t>
      </w:r>
      <w:r w:rsidRPr="009B0120">
        <w:rPr>
          <w:lang w:val="fr-FR"/>
        </w:rPr>
        <w:t>application des peines de Rome accorda au requérant le placement en détention domiciliaire à compter du 16 novembre 2012</w:t>
      </w:r>
      <w:r w:rsidRPr="009B0120">
        <w:rPr>
          <w:b/>
          <w:lang w:val="fr-FR"/>
        </w:rPr>
        <w:t>.</w:t>
      </w:r>
    </w:p>
    <w:p w:rsidR="000E2C3F" w:rsidRPr="009B0120" w:rsidRDefault="008B783C" w:rsidP="009B0120">
      <w:pPr>
        <w:pStyle w:val="ECHRPara"/>
        <w:rPr>
          <w:lang w:val="fr-FR"/>
        </w:rPr>
      </w:pPr>
      <w:r w:rsidRPr="009B0120">
        <w:rPr>
          <w:lang w:val="fr-FR"/>
        </w:rPr>
        <w:t>12.  En mars 2013, une nouvelle IRM et un scanner permirent de voir que la tumeur s</w:t>
      </w:r>
      <w:r w:rsidR="009B0120" w:rsidRPr="009B0120">
        <w:rPr>
          <w:lang w:val="fr-FR"/>
        </w:rPr>
        <w:t>’</w:t>
      </w:r>
      <w:r w:rsidRPr="009B0120">
        <w:rPr>
          <w:lang w:val="fr-FR"/>
        </w:rPr>
        <w:t>était agrandie.</w:t>
      </w:r>
    </w:p>
    <w:p w:rsidR="008B783C" w:rsidRPr="009B0120" w:rsidRDefault="008B783C" w:rsidP="009B0120">
      <w:pPr>
        <w:pStyle w:val="ECHRPara"/>
        <w:rPr>
          <w:lang w:val="fr-FR"/>
        </w:rPr>
      </w:pPr>
      <w:r w:rsidRPr="009B0120">
        <w:rPr>
          <w:lang w:val="fr-FR"/>
        </w:rPr>
        <w:t>13.  En avril 2013, une nouvelle IRM permit de comprendre qu</w:t>
      </w:r>
      <w:r w:rsidR="009B0120" w:rsidRPr="009B0120">
        <w:rPr>
          <w:lang w:val="fr-FR"/>
        </w:rPr>
        <w:t>’</w:t>
      </w:r>
      <w:r w:rsidRPr="009B0120">
        <w:rPr>
          <w:lang w:val="fr-FR"/>
        </w:rPr>
        <w:t>il s</w:t>
      </w:r>
      <w:r w:rsidR="009B0120" w:rsidRPr="009B0120">
        <w:rPr>
          <w:lang w:val="fr-FR"/>
        </w:rPr>
        <w:t>’</w:t>
      </w:r>
      <w:r w:rsidRPr="009B0120">
        <w:rPr>
          <w:lang w:val="fr-FR"/>
        </w:rPr>
        <w:t>agissait d</w:t>
      </w:r>
      <w:r w:rsidR="009B0120" w:rsidRPr="009B0120">
        <w:rPr>
          <w:lang w:val="fr-FR"/>
        </w:rPr>
        <w:t>’</w:t>
      </w:r>
      <w:r w:rsidRPr="009B0120">
        <w:rPr>
          <w:lang w:val="fr-FR"/>
        </w:rPr>
        <w:t>un carcinome de la parotide droite, qui impactait sur les nerfs.</w:t>
      </w:r>
    </w:p>
    <w:p w:rsidR="000E2C3F" w:rsidRPr="009B0120" w:rsidRDefault="008B783C" w:rsidP="009B0120">
      <w:pPr>
        <w:pStyle w:val="ECHRPara"/>
        <w:rPr>
          <w:lang w:val="fr-FR"/>
        </w:rPr>
      </w:pPr>
      <w:r w:rsidRPr="009B0120">
        <w:rPr>
          <w:lang w:val="fr-FR"/>
        </w:rPr>
        <w:t>14.  Le 3 mai 2013, le requérant institua une procédure en responsabilité civile à l</w:t>
      </w:r>
      <w:r w:rsidR="009B0120" w:rsidRPr="009B0120">
        <w:rPr>
          <w:lang w:val="fr-FR"/>
        </w:rPr>
        <w:t>’</w:t>
      </w:r>
      <w:r w:rsidRPr="009B0120">
        <w:rPr>
          <w:lang w:val="fr-FR"/>
        </w:rPr>
        <w:t>encontre du ministère de la Justice, au sens de l</w:t>
      </w:r>
      <w:r w:rsidR="009B0120" w:rsidRPr="009B0120">
        <w:rPr>
          <w:lang w:val="fr-FR"/>
        </w:rPr>
        <w:t>’</w:t>
      </w:r>
      <w:r w:rsidRPr="009B0120">
        <w:rPr>
          <w:lang w:val="fr-FR"/>
        </w:rPr>
        <w:t>article 696</w:t>
      </w:r>
      <w:r w:rsidRPr="009B0120">
        <w:rPr>
          <w:i/>
          <w:lang w:val="fr-FR"/>
        </w:rPr>
        <w:t>bis</w:t>
      </w:r>
      <w:r w:rsidRPr="009B0120">
        <w:rPr>
          <w:lang w:val="fr-FR"/>
        </w:rPr>
        <w:t xml:space="preserve"> du code de procédure civile.</w:t>
      </w:r>
    </w:p>
    <w:p w:rsidR="008B783C" w:rsidRPr="009B0120" w:rsidRDefault="008B783C" w:rsidP="009B0120">
      <w:pPr>
        <w:pStyle w:val="ECHRPara"/>
        <w:rPr>
          <w:lang w:val="fr-FR"/>
        </w:rPr>
      </w:pPr>
      <w:r w:rsidRPr="009B0120">
        <w:rPr>
          <w:lang w:val="fr-FR"/>
        </w:rPr>
        <w:t>15.  Le tribunal de Catanzaro ordonna une expertise d</w:t>
      </w:r>
      <w:r w:rsidR="009B0120" w:rsidRPr="009B0120">
        <w:rPr>
          <w:lang w:val="fr-FR"/>
        </w:rPr>
        <w:t>’</w:t>
      </w:r>
      <w:r w:rsidRPr="009B0120">
        <w:rPr>
          <w:lang w:val="fr-FR"/>
        </w:rPr>
        <w:t>office. L</w:t>
      </w:r>
      <w:r w:rsidR="009B0120" w:rsidRPr="009B0120">
        <w:rPr>
          <w:lang w:val="fr-FR"/>
        </w:rPr>
        <w:t>’</w:t>
      </w:r>
      <w:r w:rsidRPr="009B0120">
        <w:rPr>
          <w:lang w:val="fr-FR"/>
        </w:rPr>
        <w:t>expert était requis d</w:t>
      </w:r>
      <w:r w:rsidR="009B0120" w:rsidRPr="009B0120">
        <w:rPr>
          <w:lang w:val="fr-FR"/>
        </w:rPr>
        <w:t>’</w:t>
      </w:r>
      <w:r w:rsidRPr="009B0120">
        <w:rPr>
          <w:lang w:val="fr-FR"/>
        </w:rPr>
        <w:t>évaluer l</w:t>
      </w:r>
      <w:r w:rsidR="009B0120" w:rsidRPr="009B0120">
        <w:rPr>
          <w:lang w:val="fr-FR"/>
        </w:rPr>
        <w:t>’</w:t>
      </w:r>
      <w:r w:rsidRPr="009B0120">
        <w:rPr>
          <w:lang w:val="fr-FR"/>
        </w:rPr>
        <w:t>état de santé du requérant et de dire au quel moment sa pathologie aurait pu être diagnostiquée et si une intervention chirurgicale était envisageable.</w:t>
      </w:r>
    </w:p>
    <w:p w:rsidR="000E2C3F" w:rsidRPr="009B0120" w:rsidRDefault="008B783C" w:rsidP="009B0120">
      <w:pPr>
        <w:pStyle w:val="ECHRPara"/>
        <w:rPr>
          <w:lang w:val="fr-FR"/>
        </w:rPr>
      </w:pPr>
      <w:r w:rsidRPr="009B0120">
        <w:rPr>
          <w:lang w:val="fr-FR"/>
        </w:rPr>
        <w:t>16.  L</w:t>
      </w:r>
      <w:r w:rsidR="009B0120" w:rsidRPr="009B0120">
        <w:rPr>
          <w:lang w:val="fr-FR"/>
        </w:rPr>
        <w:t>’</w:t>
      </w:r>
      <w:r w:rsidRPr="009B0120">
        <w:rPr>
          <w:lang w:val="fr-FR"/>
        </w:rPr>
        <w:t>expert estima que les seuls examens utiles à pratiquer dans ce type de cas étaient l</w:t>
      </w:r>
      <w:r w:rsidR="009B0120" w:rsidRPr="009B0120">
        <w:rPr>
          <w:lang w:val="fr-FR"/>
        </w:rPr>
        <w:t>’</w:t>
      </w:r>
      <w:r w:rsidRPr="009B0120">
        <w:rPr>
          <w:lang w:val="fr-FR"/>
        </w:rPr>
        <w:t>IRM et le scanner. Or, la première IRM n</w:t>
      </w:r>
      <w:r w:rsidR="009B0120" w:rsidRPr="009B0120">
        <w:rPr>
          <w:lang w:val="fr-FR"/>
        </w:rPr>
        <w:t>’</w:t>
      </w:r>
      <w:r w:rsidRPr="009B0120">
        <w:rPr>
          <w:lang w:val="fr-FR"/>
        </w:rPr>
        <w:t>avait été faite qu</w:t>
      </w:r>
      <w:r w:rsidR="009B0120" w:rsidRPr="009B0120">
        <w:rPr>
          <w:lang w:val="fr-FR"/>
        </w:rPr>
        <w:t>’</w:t>
      </w:r>
      <w:r w:rsidRPr="009B0120">
        <w:rPr>
          <w:lang w:val="fr-FR"/>
        </w:rPr>
        <w:t>en septembre 2012, alors que le requérant présentait des symptômes (déviation de la bouche et lagophtalmie) déjà en 2010. Et seulement en avril 2013 le bon diagnostic avait été posé. À ce moment-là le cancer était à un stade très avancé, de sorte qu</w:t>
      </w:r>
      <w:r w:rsidR="009B0120" w:rsidRPr="009B0120">
        <w:rPr>
          <w:lang w:val="fr-FR"/>
        </w:rPr>
        <w:t>’</w:t>
      </w:r>
      <w:r w:rsidRPr="009B0120">
        <w:rPr>
          <w:lang w:val="fr-FR"/>
        </w:rPr>
        <w:t>il était très problématique de tenter des thérapies ; la douleur ressentie par le requérant état très grande, et il lui était impossible de s</w:t>
      </w:r>
      <w:r w:rsidR="009B0120" w:rsidRPr="009B0120">
        <w:rPr>
          <w:lang w:val="fr-FR"/>
        </w:rPr>
        <w:t>’</w:t>
      </w:r>
      <w:r w:rsidRPr="009B0120">
        <w:rPr>
          <w:lang w:val="fr-FR"/>
        </w:rPr>
        <w:t>alimenter. Il était donc invalidité à 100%.</w:t>
      </w:r>
    </w:p>
    <w:p w:rsidR="000E2C3F" w:rsidRPr="009B0120" w:rsidRDefault="008B783C" w:rsidP="009B0120">
      <w:pPr>
        <w:pStyle w:val="ECHRPara"/>
        <w:rPr>
          <w:lang w:val="fr-FR"/>
        </w:rPr>
      </w:pPr>
      <w:r w:rsidRPr="009B0120">
        <w:rPr>
          <w:lang w:val="fr-FR"/>
        </w:rPr>
        <w:lastRenderedPageBreak/>
        <w:t>L</w:t>
      </w:r>
      <w:r w:rsidR="009B0120" w:rsidRPr="009B0120">
        <w:rPr>
          <w:lang w:val="fr-FR"/>
        </w:rPr>
        <w:t>’</w:t>
      </w:r>
      <w:r w:rsidRPr="009B0120">
        <w:rPr>
          <w:lang w:val="fr-FR"/>
        </w:rPr>
        <w:t>expert conclut que la pathologie du requérant aurait pu être diagnostiquée en 2010 per un scanner ou un IRM effectués rapidement. Si en septembre 2010 le diagnostic avait été posé, on aurait pu éviter l</w:t>
      </w:r>
      <w:r w:rsidR="009B0120" w:rsidRPr="009B0120">
        <w:rPr>
          <w:lang w:val="fr-FR"/>
        </w:rPr>
        <w:t>’</w:t>
      </w:r>
      <w:r w:rsidRPr="009B0120">
        <w:rPr>
          <w:lang w:val="fr-FR"/>
        </w:rPr>
        <w:t>expansion de la tumeur et la compression des nerfs, et on aurait pu opérer – en cas de tumeur localisée – sinon pratiquer utilement une « chirurgie de sauvetage » pour préserver la qualité de vie et rallonger la durée de la survie.</w:t>
      </w:r>
    </w:p>
    <w:p w:rsidR="008B783C" w:rsidRPr="009B0120" w:rsidRDefault="008B783C" w:rsidP="009B0120">
      <w:pPr>
        <w:pStyle w:val="ECHRPara"/>
        <w:rPr>
          <w:lang w:val="fr-FR"/>
        </w:rPr>
      </w:pPr>
      <w:r w:rsidRPr="009B0120">
        <w:rPr>
          <w:lang w:val="fr-FR"/>
        </w:rPr>
        <w:t>17.  Par une ordonnance du 29 juillet 2013, le tribunal de Catanzaro déclara irrecevable le recours du requérant au motif que l</w:t>
      </w:r>
      <w:r w:rsidR="009B0120" w:rsidRPr="009B0120">
        <w:rPr>
          <w:lang w:val="fr-FR"/>
        </w:rPr>
        <w:t>’</w:t>
      </w:r>
      <w:r w:rsidRPr="009B0120">
        <w:rPr>
          <w:lang w:val="fr-FR"/>
        </w:rPr>
        <w:t>affaire était délicate et qu</w:t>
      </w:r>
      <w:r w:rsidR="009B0120" w:rsidRPr="009B0120">
        <w:rPr>
          <w:lang w:val="fr-FR"/>
        </w:rPr>
        <w:t>’</w:t>
      </w:r>
      <w:r w:rsidRPr="009B0120">
        <w:rPr>
          <w:lang w:val="fr-FR"/>
        </w:rPr>
        <w:t>il était opportun de procéder selon la procédure ordinaire.</w:t>
      </w:r>
    </w:p>
    <w:p w:rsidR="008B783C" w:rsidRPr="009B0120" w:rsidRDefault="008B783C" w:rsidP="009B0120">
      <w:pPr>
        <w:pStyle w:val="ECHRPara"/>
        <w:rPr>
          <w:lang w:val="fr-FR"/>
        </w:rPr>
      </w:pPr>
      <w:r w:rsidRPr="009B0120">
        <w:rPr>
          <w:lang w:val="fr-FR"/>
        </w:rPr>
        <w:t>18.  Le 9 septembre 2013, le requérant fut hospitalisé et opéré. Il subit d</w:t>
      </w:r>
      <w:r w:rsidR="009B0120" w:rsidRPr="009B0120">
        <w:rPr>
          <w:lang w:val="fr-FR"/>
        </w:rPr>
        <w:t>’</w:t>
      </w:r>
      <w:r w:rsidRPr="009B0120">
        <w:rPr>
          <w:lang w:val="fr-FR"/>
        </w:rPr>
        <w:t>autres interventions par la suite et décéda à l</w:t>
      </w:r>
      <w:r w:rsidR="009B0120" w:rsidRPr="009B0120">
        <w:rPr>
          <w:lang w:val="fr-FR"/>
        </w:rPr>
        <w:t>’</w:t>
      </w:r>
      <w:r w:rsidRPr="009B0120">
        <w:rPr>
          <w:lang w:val="fr-FR"/>
        </w:rPr>
        <w:t>hôpital le 1</w:t>
      </w:r>
      <w:r w:rsidRPr="009B0120">
        <w:rPr>
          <w:vertAlign w:val="superscript"/>
          <w:lang w:val="fr-FR"/>
        </w:rPr>
        <w:t xml:space="preserve">er </w:t>
      </w:r>
      <w:r w:rsidRPr="009B0120">
        <w:rPr>
          <w:lang w:val="fr-FR"/>
        </w:rPr>
        <w:t>février 2014.</w:t>
      </w:r>
    </w:p>
    <w:p w:rsidR="000E2C3F" w:rsidRPr="009B0120" w:rsidRDefault="008B783C" w:rsidP="009B0120">
      <w:pPr>
        <w:pStyle w:val="ECHRPara"/>
        <w:rPr>
          <w:lang w:val="fr-FR"/>
        </w:rPr>
      </w:pPr>
      <w:r w:rsidRPr="009B0120">
        <w:rPr>
          <w:lang w:val="fr-FR"/>
        </w:rPr>
        <w:t>19.  Suite au décès du requérant, ses héritiers entamèrent une procédure en responsabilité civile contre le ministère de la Santé et le ministère de la Justice en date du 4 avril 2014, en alléguant que l</w:t>
      </w:r>
      <w:r w:rsidR="009B0120" w:rsidRPr="009B0120">
        <w:rPr>
          <w:lang w:val="fr-FR"/>
        </w:rPr>
        <w:t>’</w:t>
      </w:r>
      <w:r w:rsidRPr="009B0120">
        <w:rPr>
          <w:lang w:val="fr-FR"/>
        </w:rPr>
        <w:t>intéressé n</w:t>
      </w:r>
      <w:r w:rsidR="009B0120" w:rsidRPr="009B0120">
        <w:rPr>
          <w:lang w:val="fr-FR"/>
        </w:rPr>
        <w:t>’</w:t>
      </w:r>
      <w:r w:rsidRPr="009B0120">
        <w:rPr>
          <w:lang w:val="fr-FR"/>
        </w:rPr>
        <w:t>avait pas bénéficié d</w:t>
      </w:r>
      <w:r w:rsidR="009B0120" w:rsidRPr="009B0120">
        <w:rPr>
          <w:lang w:val="fr-FR"/>
        </w:rPr>
        <w:t>’</w:t>
      </w:r>
      <w:r w:rsidRPr="009B0120">
        <w:rPr>
          <w:lang w:val="fr-FR"/>
        </w:rPr>
        <w:t xml:space="preserve">une prise en charge médicale adéquate. Ils réclamaient des dommages-intérêts tant </w:t>
      </w:r>
      <w:r w:rsidRPr="009B0120">
        <w:rPr>
          <w:i/>
          <w:lang w:val="fr-FR"/>
        </w:rPr>
        <w:t>iure hereditatis</w:t>
      </w:r>
      <w:r w:rsidRPr="009B0120">
        <w:rPr>
          <w:lang w:val="fr-FR"/>
        </w:rPr>
        <w:t xml:space="preserve"> que </w:t>
      </w:r>
      <w:r w:rsidRPr="009B0120">
        <w:rPr>
          <w:i/>
          <w:lang w:val="fr-FR"/>
        </w:rPr>
        <w:t>iure proprio.</w:t>
      </w:r>
    </w:p>
    <w:p w:rsidR="008B783C" w:rsidRPr="009B0120" w:rsidRDefault="008B783C" w:rsidP="009B0120">
      <w:pPr>
        <w:pStyle w:val="ECHRPara"/>
        <w:rPr>
          <w:lang w:val="fr-FR"/>
        </w:rPr>
      </w:pPr>
      <w:r w:rsidRPr="009B0120">
        <w:rPr>
          <w:lang w:val="fr-FR"/>
        </w:rPr>
        <w:t>20.  Le Gouvernement a fait savoir que la procédure est toujours pendante en première instance. L</w:t>
      </w:r>
      <w:r w:rsidR="009B0120" w:rsidRPr="009B0120">
        <w:rPr>
          <w:lang w:val="fr-FR"/>
        </w:rPr>
        <w:t>’</w:t>
      </w:r>
      <w:r w:rsidRPr="009B0120">
        <w:rPr>
          <w:lang w:val="fr-FR"/>
        </w:rPr>
        <w:t>audience pour le dépôt des conclusions a été fixée au 13 octobre 2017.</w:t>
      </w:r>
    </w:p>
    <w:p w:rsidR="008B783C" w:rsidRPr="009B0120" w:rsidRDefault="008B783C" w:rsidP="009B0120">
      <w:pPr>
        <w:pStyle w:val="ECHRTitle1"/>
        <w:rPr>
          <w:lang w:val="fr-FR"/>
        </w:rPr>
      </w:pPr>
      <w:r w:rsidRPr="009B0120">
        <w:rPr>
          <w:lang w:val="fr-FR"/>
        </w:rPr>
        <w:t>GRIEFS</w:t>
      </w:r>
    </w:p>
    <w:p w:rsidR="000E2C3F" w:rsidRPr="009B0120" w:rsidRDefault="008B783C" w:rsidP="009B0120">
      <w:pPr>
        <w:pStyle w:val="ECHRPara"/>
        <w:rPr>
          <w:lang w:val="fr-FR"/>
        </w:rPr>
      </w:pPr>
      <w:r w:rsidRPr="009B0120">
        <w:rPr>
          <w:lang w:val="fr-FR"/>
        </w:rPr>
        <w:t>21.   Invoquant les articles 2 et 3 de la Convention, le requérant se plaint de la prise en charge médicale insuffisante et inadéquate de la part des autorités italiennes.</w:t>
      </w:r>
    </w:p>
    <w:p w:rsidR="008B783C" w:rsidRPr="009B0120" w:rsidRDefault="008B783C" w:rsidP="009B0120">
      <w:pPr>
        <w:pStyle w:val="ECHRPara"/>
        <w:rPr>
          <w:lang w:val="fr-FR"/>
        </w:rPr>
      </w:pPr>
      <w:r w:rsidRPr="009B0120">
        <w:rPr>
          <w:lang w:val="fr-FR"/>
        </w:rPr>
        <w:t>22.  Le requérant évoque le problème du surpeuplement carcéral qui aurait concerné tous les établissements pénitentiaires dans lesquels il a été détenu.</w:t>
      </w:r>
    </w:p>
    <w:p w:rsidR="008B783C" w:rsidRPr="009B0120" w:rsidRDefault="008B783C" w:rsidP="009B0120">
      <w:pPr>
        <w:pStyle w:val="ECHRTitle1"/>
        <w:rPr>
          <w:lang w:val="fr-FR"/>
        </w:rPr>
      </w:pPr>
      <w:r w:rsidRPr="009B0120">
        <w:rPr>
          <w:lang w:val="fr-FR"/>
        </w:rPr>
        <w:t>EN DROIT</w:t>
      </w:r>
    </w:p>
    <w:p w:rsidR="000E2C3F" w:rsidRPr="009B0120" w:rsidRDefault="008B783C" w:rsidP="009B0120">
      <w:pPr>
        <w:pStyle w:val="ECHRHeading2"/>
        <w:rPr>
          <w:lang w:val="fr-FR"/>
        </w:rPr>
      </w:pPr>
      <w:r w:rsidRPr="009B0120">
        <w:rPr>
          <w:lang w:val="fr-FR"/>
        </w:rPr>
        <w:t>A.  Grief tiré d</w:t>
      </w:r>
      <w:r w:rsidR="009B0120" w:rsidRPr="009B0120">
        <w:rPr>
          <w:lang w:val="fr-FR"/>
        </w:rPr>
        <w:t>’</w:t>
      </w:r>
      <w:r w:rsidRPr="009B0120">
        <w:rPr>
          <w:lang w:val="fr-FR"/>
        </w:rPr>
        <w:t>une prise en charge médicale inadéquate</w:t>
      </w:r>
    </w:p>
    <w:p w:rsidR="008B783C" w:rsidRPr="009B0120" w:rsidRDefault="008B783C" w:rsidP="009B0120">
      <w:pPr>
        <w:pStyle w:val="ECHRPara"/>
        <w:rPr>
          <w:lang w:val="fr-FR"/>
        </w:rPr>
      </w:pPr>
      <w:r w:rsidRPr="009B0120">
        <w:rPr>
          <w:lang w:val="fr-FR"/>
        </w:rPr>
        <w:t>23.  Le requérant se plaint d</w:t>
      </w:r>
      <w:r w:rsidR="009B0120" w:rsidRPr="009B0120">
        <w:rPr>
          <w:lang w:val="fr-FR"/>
        </w:rPr>
        <w:t>’</w:t>
      </w:r>
      <w:r w:rsidRPr="009B0120">
        <w:rPr>
          <w:lang w:val="fr-FR"/>
        </w:rPr>
        <w:t>une prise en charge médicale insuffisante et inadéquate de la part des autorités nationales. Il invoque les articles 2 et 3 de la Convention.</w:t>
      </w:r>
    </w:p>
    <w:p w:rsidR="000E2C3F" w:rsidRPr="009B0120" w:rsidRDefault="008B783C" w:rsidP="009B0120">
      <w:pPr>
        <w:pStyle w:val="ECHRPara"/>
        <w:rPr>
          <w:lang w:val="fr-FR"/>
        </w:rPr>
      </w:pPr>
      <w:r w:rsidRPr="009B0120">
        <w:rPr>
          <w:lang w:val="fr-FR"/>
        </w:rPr>
        <w:t>La Cour estime que cette partie de la requête doit être examinée sous l</w:t>
      </w:r>
      <w:r w:rsidR="009B0120" w:rsidRPr="009B0120">
        <w:rPr>
          <w:lang w:val="fr-FR"/>
        </w:rPr>
        <w:t>’</w:t>
      </w:r>
      <w:r w:rsidRPr="009B0120">
        <w:rPr>
          <w:lang w:val="fr-FR"/>
        </w:rPr>
        <w:t>angle de l</w:t>
      </w:r>
      <w:r w:rsidR="009B0120" w:rsidRPr="009B0120">
        <w:rPr>
          <w:lang w:val="fr-FR"/>
        </w:rPr>
        <w:t>’</w:t>
      </w:r>
      <w:r w:rsidRPr="009B0120">
        <w:rPr>
          <w:lang w:val="fr-FR"/>
        </w:rPr>
        <w:t>article 2 de la Convention, qui, dans ses parties pertinentes, se lit ainsi :</w:t>
      </w:r>
    </w:p>
    <w:p w:rsidR="008B783C" w:rsidRPr="009B0120" w:rsidRDefault="008B783C" w:rsidP="009B0120">
      <w:pPr>
        <w:pStyle w:val="ECHRParaQuote"/>
        <w:rPr>
          <w:lang w:val="fr-FR"/>
        </w:rPr>
      </w:pPr>
      <w:r w:rsidRPr="009B0120">
        <w:rPr>
          <w:lang w:val="fr-FR"/>
        </w:rPr>
        <w:lastRenderedPageBreak/>
        <w:t>« 1.</w:t>
      </w:r>
      <w:r w:rsidR="00C404E7" w:rsidRPr="009B0120">
        <w:rPr>
          <w:lang w:val="fr-FR"/>
        </w:rPr>
        <w:t>  </w:t>
      </w:r>
      <w:r w:rsidRPr="009B0120">
        <w:rPr>
          <w:lang w:val="fr-FR"/>
        </w:rPr>
        <w:t>Le droit de toute personne à la vie est protégé par la loi ... »</w:t>
      </w:r>
    </w:p>
    <w:p w:rsidR="008B783C" w:rsidRPr="009B0120" w:rsidRDefault="008B783C" w:rsidP="009B0120">
      <w:pPr>
        <w:pStyle w:val="ECHRPara"/>
        <w:rPr>
          <w:lang w:val="fr-FR"/>
        </w:rPr>
      </w:pPr>
      <w:r w:rsidRPr="009B0120">
        <w:rPr>
          <w:lang w:val="fr-FR"/>
        </w:rPr>
        <w:t>24.  Le Gouvernement observe d</w:t>
      </w:r>
      <w:r w:rsidR="009B0120" w:rsidRPr="009B0120">
        <w:rPr>
          <w:lang w:val="fr-FR"/>
        </w:rPr>
        <w:t>’</w:t>
      </w:r>
      <w:r w:rsidRPr="009B0120">
        <w:rPr>
          <w:lang w:val="fr-FR"/>
        </w:rPr>
        <w:t>emblée que tant le requérant que ses héritiers ont institué une procédure en responsabilité civile pour conduite négligente à l</w:t>
      </w:r>
      <w:r w:rsidR="009B0120" w:rsidRPr="009B0120">
        <w:rPr>
          <w:lang w:val="fr-FR"/>
        </w:rPr>
        <w:t>’</w:t>
      </w:r>
      <w:r w:rsidRPr="009B0120">
        <w:rPr>
          <w:lang w:val="fr-FR"/>
        </w:rPr>
        <w:t>encontre des autorités italiennes. La procédure instituée par les héritiers du requérant est pendante. Par conséquent, il n</w:t>
      </w:r>
      <w:r w:rsidR="009B0120" w:rsidRPr="009B0120">
        <w:rPr>
          <w:lang w:val="fr-FR"/>
        </w:rPr>
        <w:t>’</w:t>
      </w:r>
      <w:r w:rsidRPr="009B0120">
        <w:rPr>
          <w:lang w:val="fr-FR"/>
        </w:rPr>
        <w:t>y a pas eu d</w:t>
      </w:r>
      <w:r w:rsidR="009B0120" w:rsidRPr="009B0120">
        <w:rPr>
          <w:lang w:val="fr-FR"/>
        </w:rPr>
        <w:t>’</w:t>
      </w:r>
      <w:r w:rsidRPr="009B0120">
        <w:rPr>
          <w:lang w:val="fr-FR"/>
        </w:rPr>
        <w:t>épuisement des voies de recours internes.</w:t>
      </w:r>
    </w:p>
    <w:p w:rsidR="008B783C" w:rsidRPr="009B0120" w:rsidRDefault="008B783C" w:rsidP="009B0120">
      <w:pPr>
        <w:pStyle w:val="ECHRPara"/>
        <w:rPr>
          <w:lang w:val="fr-FR"/>
        </w:rPr>
      </w:pPr>
      <w:r w:rsidRPr="009B0120">
        <w:rPr>
          <w:lang w:val="fr-FR"/>
        </w:rPr>
        <w:t>25.  Sur le fond, le Gouvernement soutient que le requérant a été correctement pris en charge par les autorités compétentes auprès de chaque établissement pénitentiaire. Il a de plus été hospitalisé et il a reçu les traitements qu</w:t>
      </w:r>
      <w:r w:rsidR="009B0120" w:rsidRPr="009B0120">
        <w:rPr>
          <w:lang w:val="fr-FR"/>
        </w:rPr>
        <w:t>’</w:t>
      </w:r>
      <w:r w:rsidRPr="009B0120">
        <w:rPr>
          <w:lang w:val="fr-FR"/>
        </w:rPr>
        <w:t>un citoyen libre aurait reçus. Par ailleurs, le tribunal de Rome, le 16 novembre 2012, a accordé au requérant la possibilité d</w:t>
      </w:r>
      <w:r w:rsidR="009B0120" w:rsidRPr="009B0120">
        <w:rPr>
          <w:lang w:val="fr-FR"/>
        </w:rPr>
        <w:t>’</w:t>
      </w:r>
      <w:r w:rsidRPr="009B0120">
        <w:rPr>
          <w:lang w:val="fr-FR"/>
        </w:rPr>
        <w:t>être en détention à domicile.</w:t>
      </w:r>
    </w:p>
    <w:p w:rsidR="000E2C3F" w:rsidRPr="009B0120" w:rsidRDefault="008B783C" w:rsidP="009B0120">
      <w:pPr>
        <w:pStyle w:val="ECHRPara"/>
        <w:rPr>
          <w:lang w:val="fr-FR"/>
        </w:rPr>
      </w:pPr>
      <w:r w:rsidRPr="009B0120">
        <w:rPr>
          <w:lang w:val="fr-FR"/>
        </w:rPr>
        <w:t>26.  Les héritiers du requérants admettent que la procédure en dommages intérêts est pendante.</w:t>
      </w:r>
    </w:p>
    <w:p w:rsidR="008B783C" w:rsidRPr="009B0120" w:rsidRDefault="008B783C" w:rsidP="009B0120">
      <w:pPr>
        <w:pStyle w:val="ECHRPara"/>
        <w:rPr>
          <w:lang w:val="fr-FR"/>
        </w:rPr>
      </w:pPr>
      <w:r w:rsidRPr="009B0120">
        <w:rPr>
          <w:lang w:val="fr-FR"/>
        </w:rPr>
        <w:t>27.  Sur le fond, ils observent que des négligences graves ont été commises dans la prise en charge médicale du requérant. Les autorités ne l</w:t>
      </w:r>
      <w:r w:rsidR="009B0120" w:rsidRPr="009B0120">
        <w:rPr>
          <w:lang w:val="fr-FR"/>
        </w:rPr>
        <w:t>’</w:t>
      </w:r>
      <w:r w:rsidRPr="009B0120">
        <w:rPr>
          <w:lang w:val="fr-FR"/>
        </w:rPr>
        <w:t>ont pas soigné comme il se doit au cours de sa détention et elles sont responsables de sa mort. Ils soulignent que les examens ayant permis de poser le diagnostic n</w:t>
      </w:r>
      <w:r w:rsidR="009B0120" w:rsidRPr="009B0120">
        <w:rPr>
          <w:lang w:val="fr-FR"/>
        </w:rPr>
        <w:t>’</w:t>
      </w:r>
      <w:r w:rsidRPr="009B0120">
        <w:rPr>
          <w:lang w:val="fr-FR"/>
        </w:rPr>
        <w:t>ont été effectués qu</w:t>
      </w:r>
      <w:r w:rsidR="009B0120" w:rsidRPr="009B0120">
        <w:rPr>
          <w:lang w:val="fr-FR"/>
        </w:rPr>
        <w:t>’</w:t>
      </w:r>
      <w:r w:rsidRPr="009B0120">
        <w:rPr>
          <w:lang w:val="fr-FR"/>
        </w:rPr>
        <w:t>avec plusieurs années de retard. Ce défaut de prise en charge médical a aggravé la situation du requérant et a compromis ses chances de survie.</w:t>
      </w:r>
    </w:p>
    <w:p w:rsidR="008B783C" w:rsidRPr="009B0120" w:rsidRDefault="008B783C" w:rsidP="009B0120">
      <w:pPr>
        <w:pStyle w:val="ECHRPara"/>
        <w:rPr>
          <w:lang w:val="fr-FR"/>
        </w:rPr>
      </w:pPr>
      <w:r w:rsidRPr="009B0120">
        <w:rPr>
          <w:lang w:val="fr-FR"/>
        </w:rPr>
        <w:t>28.  La Cour rappelle que dans des cas où le requérant décède après l</w:t>
      </w:r>
      <w:r w:rsidR="009B0120" w:rsidRPr="009B0120">
        <w:rPr>
          <w:lang w:val="fr-FR"/>
        </w:rPr>
        <w:t>’</w:t>
      </w:r>
      <w:r w:rsidRPr="009B0120">
        <w:rPr>
          <w:lang w:val="fr-FR"/>
        </w:rPr>
        <w:t>introduction de la requête, elle admet qu</w:t>
      </w:r>
      <w:r w:rsidR="009B0120" w:rsidRPr="009B0120">
        <w:rPr>
          <w:lang w:val="fr-FR"/>
        </w:rPr>
        <w:t>’</w:t>
      </w:r>
      <w:r w:rsidRPr="009B0120">
        <w:rPr>
          <w:lang w:val="fr-FR"/>
        </w:rPr>
        <w:t>un proche parent ou un héritier poursuive la procédure dès lors qu</w:t>
      </w:r>
      <w:r w:rsidR="009B0120" w:rsidRPr="009B0120">
        <w:rPr>
          <w:lang w:val="fr-FR"/>
        </w:rPr>
        <w:t>’</w:t>
      </w:r>
      <w:r w:rsidRPr="009B0120">
        <w:rPr>
          <w:lang w:val="fr-FR"/>
        </w:rPr>
        <w:t>il a un intérêt suffisant dans l</w:t>
      </w:r>
      <w:r w:rsidR="009B0120" w:rsidRPr="009B0120">
        <w:rPr>
          <w:lang w:val="fr-FR"/>
        </w:rPr>
        <w:t>’</w:t>
      </w:r>
      <w:r w:rsidRPr="009B0120">
        <w:rPr>
          <w:lang w:val="fr-FR"/>
        </w:rPr>
        <w:t xml:space="preserve">affaire (par exemple la veuve et les enfants dans </w:t>
      </w:r>
      <w:r w:rsidRPr="009B0120">
        <w:rPr>
          <w:i/>
          <w:lang w:val="fr-FR"/>
        </w:rPr>
        <w:t>Raimondo c. Italie</w:t>
      </w:r>
      <w:r w:rsidRPr="009B0120">
        <w:rPr>
          <w:lang w:val="fr-FR"/>
        </w:rPr>
        <w:t>, 22 février 1994, § 2, série A n</w:t>
      </w:r>
      <w:r w:rsidRPr="009B0120">
        <w:rPr>
          <w:vertAlign w:val="superscript"/>
          <w:lang w:val="fr-FR"/>
        </w:rPr>
        <w:t>o</w:t>
      </w:r>
      <w:r w:rsidRPr="009B0120">
        <w:rPr>
          <w:lang w:val="fr-FR"/>
        </w:rPr>
        <w:t> 281</w:t>
      </w:r>
      <w:r w:rsidRPr="009B0120">
        <w:rPr>
          <w:lang w:val="fr-FR"/>
        </w:rPr>
        <w:noBreakHyphen/>
        <w:t xml:space="preserve">A, et </w:t>
      </w:r>
      <w:r w:rsidRPr="009B0120">
        <w:rPr>
          <w:i/>
          <w:lang w:val="fr-FR"/>
        </w:rPr>
        <w:t>Stojkovic c. « l</w:t>
      </w:r>
      <w:r w:rsidR="009B0120" w:rsidRPr="009B0120">
        <w:rPr>
          <w:i/>
          <w:lang w:val="fr-FR"/>
        </w:rPr>
        <w:t>’</w:t>
      </w:r>
      <w:r w:rsidRPr="009B0120">
        <w:rPr>
          <w:i/>
          <w:lang w:val="fr-FR"/>
        </w:rPr>
        <w:t>ex-République yougoslave de Macédoine »</w:t>
      </w:r>
      <w:r w:rsidRPr="009B0120">
        <w:rPr>
          <w:lang w:val="fr-FR"/>
        </w:rPr>
        <w:t>, n</w:t>
      </w:r>
      <w:r w:rsidRPr="009B0120">
        <w:rPr>
          <w:vertAlign w:val="superscript"/>
          <w:lang w:val="fr-FR"/>
        </w:rPr>
        <w:t>o</w:t>
      </w:r>
      <w:r w:rsidRPr="009B0120">
        <w:rPr>
          <w:lang w:val="fr-FR"/>
        </w:rPr>
        <w:t xml:space="preserve"> 14818/02, § 25, 8 novembre 2007 ; les parents dans </w:t>
      </w:r>
      <w:r w:rsidRPr="009B0120">
        <w:rPr>
          <w:i/>
          <w:lang w:val="fr-FR"/>
        </w:rPr>
        <w:t>X c. France</w:t>
      </w:r>
      <w:r w:rsidRPr="009B0120">
        <w:rPr>
          <w:lang w:val="fr-FR"/>
        </w:rPr>
        <w:t>, 31 mars 1992, § 26, série A n</w:t>
      </w:r>
      <w:r w:rsidRPr="009B0120">
        <w:rPr>
          <w:vertAlign w:val="superscript"/>
          <w:lang w:val="fr-FR"/>
        </w:rPr>
        <w:t>o</w:t>
      </w:r>
      <w:r w:rsidRPr="009B0120">
        <w:rPr>
          <w:lang w:val="fr-FR"/>
        </w:rPr>
        <w:t xml:space="preserve"> 234</w:t>
      </w:r>
      <w:r w:rsidRPr="009B0120">
        <w:rPr>
          <w:lang w:val="fr-FR"/>
        </w:rPr>
        <w:noBreakHyphen/>
        <w:t>C ; le neveu et l</w:t>
      </w:r>
      <w:r w:rsidR="009B0120" w:rsidRPr="009B0120">
        <w:rPr>
          <w:lang w:val="fr-FR"/>
        </w:rPr>
        <w:t>’</w:t>
      </w:r>
      <w:r w:rsidRPr="009B0120">
        <w:rPr>
          <w:lang w:val="fr-FR"/>
        </w:rPr>
        <w:t xml:space="preserve">héritier potentiel dans </w:t>
      </w:r>
      <w:r w:rsidRPr="009B0120">
        <w:rPr>
          <w:i/>
          <w:lang w:val="fr-FR"/>
        </w:rPr>
        <w:t xml:space="preserve">Malhous c. République tchèque </w:t>
      </w:r>
      <w:r w:rsidRPr="009B0120">
        <w:rPr>
          <w:lang w:val="fr-FR"/>
        </w:rPr>
        <w:t>(déc.) [GC], n</w:t>
      </w:r>
      <w:r w:rsidRPr="009B0120">
        <w:rPr>
          <w:vertAlign w:val="superscript"/>
          <w:lang w:val="fr-FR"/>
        </w:rPr>
        <w:t>o</w:t>
      </w:r>
      <w:r w:rsidRPr="009B0120">
        <w:rPr>
          <w:lang w:val="fr-FR"/>
        </w:rPr>
        <w:t> 33071/96, CEDH</w:t>
      </w:r>
      <w:r w:rsidR="00A06EC3" w:rsidRPr="009B0120">
        <w:rPr>
          <w:lang w:val="fr-FR"/>
        </w:rPr>
        <w:t> </w:t>
      </w:r>
      <w:r w:rsidRPr="009B0120">
        <w:rPr>
          <w:lang w:val="fr-FR"/>
        </w:rPr>
        <w:t>2000</w:t>
      </w:r>
      <w:r w:rsidRPr="009B0120">
        <w:rPr>
          <w:lang w:val="fr-FR"/>
        </w:rPr>
        <w:noBreakHyphen/>
        <w:t xml:space="preserve">XII ; ou la compagne non mariée ou </w:t>
      </w:r>
      <w:r w:rsidRPr="009B0120">
        <w:rPr>
          <w:i/>
          <w:lang w:val="fr-FR"/>
        </w:rPr>
        <w:t>de facto</w:t>
      </w:r>
      <w:r w:rsidRPr="009B0120">
        <w:rPr>
          <w:lang w:val="fr-FR"/>
        </w:rPr>
        <w:t xml:space="preserve"> dans </w:t>
      </w:r>
      <w:r w:rsidRPr="009B0120">
        <w:rPr>
          <w:i/>
          <w:lang w:val="fr-FR"/>
        </w:rPr>
        <w:t>Velikova c. Bulgarie</w:t>
      </w:r>
      <w:r w:rsidRPr="009B0120">
        <w:rPr>
          <w:lang w:val="fr-FR"/>
        </w:rPr>
        <w:t xml:space="preserve"> (déc.), n</w:t>
      </w:r>
      <w:r w:rsidRPr="009B0120">
        <w:rPr>
          <w:vertAlign w:val="superscript"/>
          <w:lang w:val="fr-FR"/>
        </w:rPr>
        <w:t>o</w:t>
      </w:r>
      <w:r w:rsidRPr="009B0120">
        <w:rPr>
          <w:lang w:val="fr-FR"/>
        </w:rPr>
        <w:t> 41488/98, CEDH 1999</w:t>
      </w:r>
      <w:r w:rsidRPr="009B0120">
        <w:rPr>
          <w:lang w:val="fr-FR"/>
        </w:rPr>
        <w:noBreakHyphen/>
        <w:t xml:space="preserve">V ; </w:t>
      </w:r>
      <w:r w:rsidRPr="009B0120">
        <w:rPr>
          <w:i/>
          <w:lang w:val="fr-FR"/>
        </w:rPr>
        <w:t>a contrario</w:t>
      </w:r>
      <w:r w:rsidRPr="009B0120">
        <w:rPr>
          <w:lang w:val="fr-FR"/>
        </w:rPr>
        <w:t xml:space="preserve">, la légataire universelle sans lien familial avec le défunt dans </w:t>
      </w:r>
      <w:r w:rsidRPr="009B0120">
        <w:rPr>
          <w:i/>
          <w:lang w:val="fr-FR"/>
        </w:rPr>
        <w:t xml:space="preserve">Thevenon c. France </w:t>
      </w:r>
      <w:r w:rsidRPr="009B0120">
        <w:rPr>
          <w:lang w:val="fr-FR"/>
        </w:rPr>
        <w:t>(déc.), n</w:t>
      </w:r>
      <w:r w:rsidRPr="009B0120">
        <w:rPr>
          <w:vertAlign w:val="superscript"/>
          <w:lang w:val="fr-FR"/>
        </w:rPr>
        <w:t>o</w:t>
      </w:r>
      <w:r w:rsidR="00B52DDE" w:rsidRPr="009B0120">
        <w:rPr>
          <w:lang w:val="fr-FR"/>
        </w:rPr>
        <w:t> </w:t>
      </w:r>
      <w:r w:rsidRPr="009B0120">
        <w:rPr>
          <w:lang w:val="fr-FR"/>
        </w:rPr>
        <w:t xml:space="preserve">2476/02, CEDH 2006-III ; la nièce dans </w:t>
      </w:r>
      <w:r w:rsidRPr="009B0120">
        <w:rPr>
          <w:i/>
          <w:lang w:val="fr-FR"/>
        </w:rPr>
        <w:t>Léger c. France</w:t>
      </w:r>
      <w:r w:rsidRPr="009B0120">
        <w:rPr>
          <w:lang w:val="fr-FR"/>
        </w:rPr>
        <w:t xml:space="preserve"> (radiation) [GC], n</w:t>
      </w:r>
      <w:r w:rsidRPr="009B0120">
        <w:rPr>
          <w:vertAlign w:val="superscript"/>
          <w:lang w:val="fr-FR"/>
        </w:rPr>
        <w:t>o</w:t>
      </w:r>
      <w:r w:rsidRPr="009B0120">
        <w:rPr>
          <w:lang w:val="fr-FR"/>
        </w:rPr>
        <w:t> 19324/02, § 50, 30 mars 2009 ; et la fille de l</w:t>
      </w:r>
      <w:r w:rsidR="009B0120" w:rsidRPr="009B0120">
        <w:rPr>
          <w:lang w:val="fr-FR"/>
        </w:rPr>
        <w:t>’</w:t>
      </w:r>
      <w:r w:rsidRPr="009B0120">
        <w:rPr>
          <w:lang w:val="fr-FR"/>
        </w:rPr>
        <w:t>un des requérants initiaux dans une affaire relative à des droits – non transférables –</w:t>
      </w:r>
      <w:r w:rsidR="00A06EC3" w:rsidRPr="009B0120">
        <w:rPr>
          <w:lang w:val="fr-FR"/>
        </w:rPr>
        <w:t> </w:t>
      </w:r>
      <w:r w:rsidRPr="009B0120">
        <w:rPr>
          <w:lang w:val="fr-FR"/>
        </w:rPr>
        <w:t>découlant des articles 3 et 8 et où aucun intérêt général n</w:t>
      </w:r>
      <w:r w:rsidR="009B0120" w:rsidRPr="009B0120">
        <w:rPr>
          <w:lang w:val="fr-FR"/>
        </w:rPr>
        <w:t>’</w:t>
      </w:r>
      <w:r w:rsidRPr="009B0120">
        <w:rPr>
          <w:lang w:val="fr-FR"/>
        </w:rPr>
        <w:t xml:space="preserve">était en jeu, dans </w:t>
      </w:r>
      <w:r w:rsidR="00B52DDE" w:rsidRPr="009B0120">
        <w:rPr>
          <w:i/>
          <w:lang w:val="fr-FR"/>
        </w:rPr>
        <w:t xml:space="preserve">M.P. et autres c. </w:t>
      </w:r>
      <w:r w:rsidRPr="009B0120">
        <w:rPr>
          <w:i/>
          <w:lang w:val="fr-FR"/>
        </w:rPr>
        <w:t>Bulgarie</w:t>
      </w:r>
      <w:r w:rsidRPr="009B0120">
        <w:rPr>
          <w:lang w:val="fr-FR"/>
        </w:rPr>
        <w:t>, n</w:t>
      </w:r>
      <w:r w:rsidRPr="009B0120">
        <w:rPr>
          <w:vertAlign w:val="superscript"/>
          <w:lang w:val="fr-FR"/>
        </w:rPr>
        <w:t>o</w:t>
      </w:r>
      <w:r w:rsidR="00B52DDE" w:rsidRPr="009B0120">
        <w:rPr>
          <w:lang w:val="fr-FR"/>
        </w:rPr>
        <w:t xml:space="preserve"> </w:t>
      </w:r>
      <w:r w:rsidRPr="009B0120">
        <w:rPr>
          <w:lang w:val="fr-FR"/>
        </w:rPr>
        <w:t>22457/08, §§ 96-100, 15 novembre 2011).</w:t>
      </w:r>
    </w:p>
    <w:p w:rsidR="008B783C" w:rsidRPr="009B0120" w:rsidRDefault="008B783C" w:rsidP="009B0120">
      <w:pPr>
        <w:pStyle w:val="ECHRPara"/>
        <w:rPr>
          <w:lang w:val="fr-FR"/>
        </w:rPr>
      </w:pPr>
      <w:r w:rsidRPr="009B0120">
        <w:rPr>
          <w:lang w:val="fr-FR"/>
        </w:rPr>
        <w:t>29.  Compte tenu des circonstances de l</w:t>
      </w:r>
      <w:r w:rsidR="009B0120" w:rsidRPr="009B0120">
        <w:rPr>
          <w:lang w:val="fr-FR"/>
        </w:rPr>
        <w:t>’</w:t>
      </w:r>
      <w:r w:rsidRPr="009B0120">
        <w:rPr>
          <w:lang w:val="fr-FR"/>
        </w:rPr>
        <w:t xml:space="preserve">espèce la Cour estime que les héritiers du requérant ont </w:t>
      </w:r>
      <w:r w:rsidRPr="009B0120">
        <w:rPr>
          <w:i/>
          <w:lang w:val="fr-FR"/>
        </w:rPr>
        <w:t>locus standi</w:t>
      </w:r>
      <w:r w:rsidRPr="009B0120">
        <w:rPr>
          <w:lang w:val="fr-FR"/>
        </w:rPr>
        <w:t xml:space="preserve"> devant elle, au sens de l</w:t>
      </w:r>
      <w:r w:rsidR="009B0120" w:rsidRPr="009B0120">
        <w:rPr>
          <w:lang w:val="fr-FR"/>
        </w:rPr>
        <w:t>’</w:t>
      </w:r>
      <w:r w:rsidRPr="009B0120">
        <w:rPr>
          <w:lang w:val="fr-FR"/>
        </w:rPr>
        <w:t>article 34 de la Convention, pour ce qui est du grief tiré de l</w:t>
      </w:r>
      <w:r w:rsidR="009B0120" w:rsidRPr="009B0120">
        <w:rPr>
          <w:lang w:val="fr-FR"/>
        </w:rPr>
        <w:t>’</w:t>
      </w:r>
      <w:r w:rsidRPr="009B0120">
        <w:rPr>
          <w:lang w:val="fr-FR"/>
        </w:rPr>
        <w:t>article 2 de la Convention.</w:t>
      </w:r>
    </w:p>
    <w:p w:rsidR="000E2C3F" w:rsidRPr="009B0120" w:rsidRDefault="008B783C" w:rsidP="009B0120">
      <w:pPr>
        <w:pStyle w:val="ECHRPara"/>
        <w:rPr>
          <w:lang w:val="fr-FR"/>
        </w:rPr>
      </w:pPr>
      <w:r w:rsidRPr="009B0120">
        <w:rPr>
          <w:lang w:val="fr-FR"/>
        </w:rPr>
        <w:t>30.  La Cour rappelle en outre que la règle de l</w:t>
      </w:r>
      <w:r w:rsidR="009B0120" w:rsidRPr="009B0120">
        <w:rPr>
          <w:lang w:val="fr-FR"/>
        </w:rPr>
        <w:t>’</w:t>
      </w:r>
      <w:r w:rsidRPr="009B0120">
        <w:rPr>
          <w:lang w:val="fr-FR"/>
        </w:rPr>
        <w:t>épuisement des voies de recours internes énoncée à l</w:t>
      </w:r>
      <w:r w:rsidR="009B0120" w:rsidRPr="009B0120">
        <w:rPr>
          <w:lang w:val="fr-FR"/>
        </w:rPr>
        <w:t>’</w:t>
      </w:r>
      <w:r w:rsidRPr="009B0120">
        <w:rPr>
          <w:lang w:val="fr-FR"/>
        </w:rPr>
        <w:t>article 35 § 1 de la Convention donne au requérant l</w:t>
      </w:r>
      <w:r w:rsidR="009B0120" w:rsidRPr="009B0120">
        <w:rPr>
          <w:lang w:val="fr-FR"/>
        </w:rPr>
        <w:t>’</w:t>
      </w:r>
      <w:r w:rsidRPr="009B0120">
        <w:rPr>
          <w:lang w:val="fr-FR"/>
        </w:rPr>
        <w:t>obligation d</w:t>
      </w:r>
      <w:r w:rsidR="009B0120" w:rsidRPr="009B0120">
        <w:rPr>
          <w:lang w:val="fr-FR"/>
        </w:rPr>
        <w:t>’</w:t>
      </w:r>
      <w:r w:rsidRPr="009B0120">
        <w:rPr>
          <w:lang w:val="fr-FR"/>
        </w:rPr>
        <w:t>utiliser auparavant les recours normalement disponibles et suffisants dans l</w:t>
      </w:r>
      <w:r w:rsidR="009B0120" w:rsidRPr="009B0120">
        <w:rPr>
          <w:lang w:val="fr-FR"/>
        </w:rPr>
        <w:t>’</w:t>
      </w:r>
      <w:r w:rsidRPr="009B0120">
        <w:rPr>
          <w:lang w:val="fr-FR"/>
        </w:rPr>
        <w:t xml:space="preserve">ordre juridique interne pour lui permettre </w:t>
      </w:r>
      <w:r w:rsidRPr="009B0120">
        <w:rPr>
          <w:lang w:val="fr-FR"/>
        </w:rPr>
        <w:lastRenderedPageBreak/>
        <w:t>d</w:t>
      </w:r>
      <w:r w:rsidR="009B0120" w:rsidRPr="009B0120">
        <w:rPr>
          <w:lang w:val="fr-FR"/>
        </w:rPr>
        <w:t>’</w:t>
      </w:r>
      <w:r w:rsidRPr="009B0120">
        <w:rPr>
          <w:lang w:val="fr-FR"/>
        </w:rPr>
        <w:t>obtenir réparation des violations qu</w:t>
      </w:r>
      <w:r w:rsidR="009B0120" w:rsidRPr="009B0120">
        <w:rPr>
          <w:lang w:val="fr-FR"/>
        </w:rPr>
        <w:t>’</w:t>
      </w:r>
      <w:r w:rsidRPr="009B0120">
        <w:rPr>
          <w:lang w:val="fr-FR"/>
        </w:rPr>
        <w:t>il allègue. Ces recours doivent exister à un degré suffisant de certitude, en pratique comme en théorie, sans quoi leur manquent l</w:t>
      </w:r>
      <w:r w:rsidR="009B0120" w:rsidRPr="009B0120">
        <w:rPr>
          <w:lang w:val="fr-FR"/>
        </w:rPr>
        <w:t>’</w:t>
      </w:r>
      <w:r w:rsidRPr="009B0120">
        <w:rPr>
          <w:lang w:val="fr-FR"/>
        </w:rPr>
        <w:t>effectivité et l</w:t>
      </w:r>
      <w:r w:rsidR="009B0120" w:rsidRPr="009B0120">
        <w:rPr>
          <w:lang w:val="fr-FR"/>
        </w:rPr>
        <w:t>’</w:t>
      </w:r>
      <w:r w:rsidRPr="009B0120">
        <w:rPr>
          <w:lang w:val="fr-FR"/>
        </w:rPr>
        <w:t>accessibilité voulues. L</w:t>
      </w:r>
      <w:r w:rsidR="009B0120" w:rsidRPr="009B0120">
        <w:rPr>
          <w:lang w:val="fr-FR"/>
        </w:rPr>
        <w:t>’</w:t>
      </w:r>
      <w:r w:rsidRPr="009B0120">
        <w:rPr>
          <w:lang w:val="fr-FR"/>
        </w:rPr>
        <w:t>article 35 § 1 impose aussi de soulever devant l</w:t>
      </w:r>
      <w:r w:rsidR="009B0120" w:rsidRPr="009B0120">
        <w:rPr>
          <w:lang w:val="fr-FR"/>
        </w:rPr>
        <w:t>’</w:t>
      </w:r>
      <w:r w:rsidRPr="009B0120">
        <w:rPr>
          <w:lang w:val="fr-FR"/>
        </w:rPr>
        <w:t>organe interne adéquat, au moins en substance et dans les formes prescrites par le droit interne, les griefs que l</w:t>
      </w:r>
      <w:r w:rsidR="009B0120" w:rsidRPr="009B0120">
        <w:rPr>
          <w:lang w:val="fr-FR"/>
        </w:rPr>
        <w:t>’</w:t>
      </w:r>
      <w:r w:rsidRPr="009B0120">
        <w:rPr>
          <w:lang w:val="fr-FR"/>
        </w:rPr>
        <w:t>on entend formuler par la suite devant la Cour, mais non d</w:t>
      </w:r>
      <w:r w:rsidR="009B0120" w:rsidRPr="009B0120">
        <w:rPr>
          <w:lang w:val="fr-FR"/>
        </w:rPr>
        <w:t>’</w:t>
      </w:r>
      <w:r w:rsidRPr="009B0120">
        <w:rPr>
          <w:lang w:val="fr-FR"/>
        </w:rPr>
        <w:t>user de recours qui ne sont ni adéquats ni effectifs (</w:t>
      </w:r>
      <w:r w:rsidRPr="009B0120">
        <w:rPr>
          <w:i/>
          <w:lang w:val="fr-FR"/>
        </w:rPr>
        <w:t>Aksoy c. Turquie</w:t>
      </w:r>
      <w:r w:rsidRPr="009B0120">
        <w:rPr>
          <w:lang w:val="fr-FR"/>
        </w:rPr>
        <w:t>, 18 décembre 1996, §§</w:t>
      </w:r>
      <w:r w:rsidR="00A06EC3" w:rsidRPr="009B0120">
        <w:rPr>
          <w:lang w:val="fr-FR"/>
        </w:rPr>
        <w:t> </w:t>
      </w:r>
      <w:r w:rsidRPr="009B0120">
        <w:rPr>
          <w:lang w:val="fr-FR"/>
        </w:rPr>
        <w:t>51</w:t>
      </w:r>
      <w:r w:rsidR="00A06EC3" w:rsidRPr="009B0120">
        <w:rPr>
          <w:lang w:val="fr-FR"/>
        </w:rPr>
        <w:noBreakHyphen/>
      </w:r>
      <w:r w:rsidRPr="009B0120">
        <w:rPr>
          <w:lang w:val="fr-FR"/>
        </w:rPr>
        <w:t xml:space="preserve">52, </w:t>
      </w:r>
      <w:r w:rsidRPr="009B0120">
        <w:rPr>
          <w:i/>
          <w:lang w:val="fr-FR"/>
        </w:rPr>
        <w:t>Recueil des arrêts et décisions</w:t>
      </w:r>
      <w:r w:rsidRPr="009B0120">
        <w:rPr>
          <w:lang w:val="fr-FR"/>
        </w:rPr>
        <w:t xml:space="preserve"> 1996</w:t>
      </w:r>
      <w:r w:rsidRPr="009B0120">
        <w:rPr>
          <w:lang w:val="fr-FR"/>
        </w:rPr>
        <w:noBreakHyphen/>
        <w:t xml:space="preserve">VI et </w:t>
      </w:r>
      <w:r w:rsidRPr="009B0120">
        <w:rPr>
          <w:i/>
          <w:lang w:val="fr-FR"/>
        </w:rPr>
        <w:t>Akdivar et autres c. Turquie</w:t>
      </w:r>
      <w:r w:rsidRPr="009B0120">
        <w:rPr>
          <w:lang w:val="fr-FR"/>
        </w:rPr>
        <w:t xml:space="preserve">, 16 septembre 1996, §§ 65-67, </w:t>
      </w:r>
      <w:r w:rsidRPr="009B0120">
        <w:rPr>
          <w:i/>
          <w:lang w:val="fr-FR"/>
        </w:rPr>
        <w:t xml:space="preserve">Recueil </w:t>
      </w:r>
      <w:r w:rsidRPr="009B0120">
        <w:rPr>
          <w:lang w:val="fr-FR"/>
        </w:rPr>
        <w:t>1996</w:t>
      </w:r>
      <w:r w:rsidRPr="009B0120">
        <w:rPr>
          <w:lang w:val="fr-FR"/>
        </w:rPr>
        <w:noBreakHyphen/>
        <w:t>IV). La Cour souligne qu</w:t>
      </w:r>
      <w:r w:rsidR="009B0120" w:rsidRPr="009B0120">
        <w:rPr>
          <w:lang w:val="fr-FR"/>
        </w:rPr>
        <w:t>’</w:t>
      </w:r>
      <w:r w:rsidRPr="009B0120">
        <w:rPr>
          <w:lang w:val="fr-FR"/>
        </w:rPr>
        <w:t>elle doit appliquer la règle de l</w:t>
      </w:r>
      <w:r w:rsidR="009B0120" w:rsidRPr="009B0120">
        <w:rPr>
          <w:lang w:val="fr-FR"/>
        </w:rPr>
        <w:t>’</w:t>
      </w:r>
      <w:r w:rsidRPr="009B0120">
        <w:rPr>
          <w:lang w:val="fr-FR"/>
        </w:rPr>
        <w:t>épuisement des voies de recours internes en tenant dûment compte du contexte et sans formalisme excessif. Elle a de plus admis que cette règle ne s</w:t>
      </w:r>
      <w:r w:rsidR="009B0120" w:rsidRPr="009B0120">
        <w:rPr>
          <w:lang w:val="fr-FR"/>
        </w:rPr>
        <w:t>’</w:t>
      </w:r>
      <w:r w:rsidRPr="009B0120">
        <w:rPr>
          <w:lang w:val="fr-FR"/>
        </w:rPr>
        <w:t>accommode pas d</w:t>
      </w:r>
      <w:r w:rsidR="009B0120" w:rsidRPr="009B0120">
        <w:rPr>
          <w:lang w:val="fr-FR"/>
        </w:rPr>
        <w:t>’</w:t>
      </w:r>
      <w:r w:rsidRPr="009B0120">
        <w:rPr>
          <w:lang w:val="fr-FR"/>
        </w:rPr>
        <w:t>une application automatique et ne revêt pas un caractère absolu ; pour en contrôler le respect, il est essentiel d</w:t>
      </w:r>
      <w:r w:rsidR="009B0120" w:rsidRPr="009B0120">
        <w:rPr>
          <w:lang w:val="fr-FR"/>
        </w:rPr>
        <w:t>’</w:t>
      </w:r>
      <w:r w:rsidRPr="009B0120">
        <w:rPr>
          <w:lang w:val="fr-FR"/>
        </w:rPr>
        <w:t>avoir égard aux circonstances de la cause. Cela signifie notamment que la Cour doit tenir compte de manière réaliste non seulement des recours prévus en théorie dans le système juridique de la partie contractante concernée, mais également du contexte général dans lequel il se situe, ainsi que de la situation personnelle du requérant (</w:t>
      </w:r>
      <w:r w:rsidRPr="009B0120">
        <w:rPr>
          <w:i/>
          <w:lang w:val="fr-FR"/>
        </w:rPr>
        <w:t>Akdivar et autres</w:t>
      </w:r>
      <w:r w:rsidRPr="009B0120">
        <w:rPr>
          <w:lang w:val="fr-FR"/>
        </w:rPr>
        <w:t xml:space="preserve">, précité, § 69, et </w:t>
      </w:r>
      <w:r w:rsidRPr="009B0120">
        <w:rPr>
          <w:i/>
          <w:lang w:val="fr-FR"/>
        </w:rPr>
        <w:t>Aksoy</w:t>
      </w:r>
      <w:r w:rsidRPr="009B0120">
        <w:rPr>
          <w:lang w:val="fr-FR"/>
        </w:rPr>
        <w:t>, précité, §§ 53 et 54).</w:t>
      </w:r>
    </w:p>
    <w:p w:rsidR="000E2C3F" w:rsidRPr="009B0120" w:rsidRDefault="008B783C" w:rsidP="009B0120">
      <w:pPr>
        <w:pStyle w:val="ECHRPara"/>
        <w:rPr>
          <w:lang w:val="fr-FR"/>
        </w:rPr>
      </w:pPr>
      <w:r w:rsidRPr="009B0120">
        <w:rPr>
          <w:lang w:val="fr-FR"/>
        </w:rPr>
        <w:t>31.  En l</w:t>
      </w:r>
      <w:r w:rsidR="009B0120" w:rsidRPr="009B0120">
        <w:rPr>
          <w:lang w:val="fr-FR"/>
        </w:rPr>
        <w:t>’</w:t>
      </w:r>
      <w:r w:rsidRPr="009B0120">
        <w:rPr>
          <w:lang w:val="fr-FR"/>
        </w:rPr>
        <w:t>espèce, les parties s</w:t>
      </w:r>
      <w:r w:rsidR="009B0120" w:rsidRPr="009B0120">
        <w:rPr>
          <w:lang w:val="fr-FR"/>
        </w:rPr>
        <w:t>’</w:t>
      </w:r>
      <w:r w:rsidRPr="009B0120">
        <w:rPr>
          <w:lang w:val="fr-FR"/>
        </w:rPr>
        <w:t>accordent pour dire que la procédure en dommages-intérêts intentée par les héritiers du requérant est pendante. En outre, aucun argument tendant à remettre en cause l</w:t>
      </w:r>
      <w:r w:rsidR="009B0120" w:rsidRPr="009B0120">
        <w:rPr>
          <w:lang w:val="fr-FR"/>
        </w:rPr>
        <w:t>’</w:t>
      </w:r>
      <w:r w:rsidRPr="009B0120">
        <w:rPr>
          <w:lang w:val="fr-FR"/>
        </w:rPr>
        <w:t>efficacité de cette procédure n</w:t>
      </w:r>
      <w:r w:rsidR="009B0120" w:rsidRPr="009B0120">
        <w:rPr>
          <w:lang w:val="fr-FR"/>
        </w:rPr>
        <w:t>’</w:t>
      </w:r>
      <w:r w:rsidRPr="009B0120">
        <w:rPr>
          <w:lang w:val="fr-FR"/>
        </w:rPr>
        <w:t xml:space="preserve">a été </w:t>
      </w:r>
      <w:r w:rsidR="00B52DDE" w:rsidRPr="009B0120">
        <w:rPr>
          <w:lang w:val="fr-FR"/>
        </w:rPr>
        <w:t>présentée</w:t>
      </w:r>
      <w:r w:rsidRPr="009B0120">
        <w:rPr>
          <w:lang w:val="fr-FR"/>
        </w:rPr>
        <w:t xml:space="preserve"> par la partie requérante.</w:t>
      </w:r>
    </w:p>
    <w:p w:rsidR="008B783C" w:rsidRPr="009B0120" w:rsidRDefault="008B783C" w:rsidP="009B0120">
      <w:pPr>
        <w:pStyle w:val="ECHRPara"/>
        <w:rPr>
          <w:lang w:val="fr-FR"/>
        </w:rPr>
      </w:pPr>
      <w:r w:rsidRPr="009B0120">
        <w:rPr>
          <w:lang w:val="fr-FR"/>
        </w:rPr>
        <w:t>32.  La Cour estime dès lors que cette partie de la requête est irrecevable pour non-épuisement des voies de recours internes et doit être rejetée au sens de l</w:t>
      </w:r>
      <w:r w:rsidR="009B0120" w:rsidRPr="009B0120">
        <w:rPr>
          <w:lang w:val="fr-FR"/>
        </w:rPr>
        <w:t>’</w:t>
      </w:r>
      <w:r w:rsidRPr="009B0120">
        <w:rPr>
          <w:lang w:val="fr-FR"/>
        </w:rPr>
        <w:t>article 35 §§ 1 et 4 de la Convention.</w:t>
      </w:r>
    </w:p>
    <w:p w:rsidR="000E2C3F" w:rsidRPr="009B0120" w:rsidRDefault="008B783C" w:rsidP="009B0120">
      <w:pPr>
        <w:pStyle w:val="ECHRHeading2"/>
        <w:rPr>
          <w:lang w:val="fr-FR"/>
        </w:rPr>
      </w:pPr>
      <w:r w:rsidRPr="009B0120">
        <w:rPr>
          <w:lang w:val="fr-FR"/>
        </w:rPr>
        <w:t>B.  Grief tiré du surpeuplement carcéral</w:t>
      </w:r>
    </w:p>
    <w:p w:rsidR="008B783C" w:rsidRPr="009B0120" w:rsidRDefault="008B783C" w:rsidP="009B0120">
      <w:pPr>
        <w:pStyle w:val="ECHRPara"/>
        <w:rPr>
          <w:lang w:val="fr-FR"/>
        </w:rPr>
      </w:pPr>
      <w:r w:rsidRPr="009B0120">
        <w:rPr>
          <w:lang w:val="fr-FR"/>
        </w:rPr>
        <w:t>33. </w:t>
      </w:r>
      <w:r w:rsidR="000E2C3F" w:rsidRPr="009B0120">
        <w:rPr>
          <w:vertAlign w:val="superscript"/>
          <w:lang w:val="fr-FR"/>
        </w:rPr>
        <w:t>o</w:t>
      </w:r>
      <w:r w:rsidRPr="009B0120">
        <w:rPr>
          <w:lang w:val="fr-FR"/>
        </w:rPr>
        <w:t>Invoquant l</w:t>
      </w:r>
      <w:r w:rsidR="009B0120" w:rsidRPr="009B0120">
        <w:rPr>
          <w:lang w:val="fr-FR"/>
        </w:rPr>
        <w:t>’</w:t>
      </w:r>
      <w:r w:rsidRPr="009B0120">
        <w:rPr>
          <w:lang w:val="fr-FR"/>
        </w:rPr>
        <w:t>article 3 de la Convention, le requérant allègue que tous les établissements où il a été détenu étaient surpeuplés. L</w:t>
      </w:r>
      <w:r w:rsidR="009B0120" w:rsidRPr="009B0120">
        <w:rPr>
          <w:lang w:val="fr-FR"/>
        </w:rPr>
        <w:t>’</w:t>
      </w:r>
      <w:r w:rsidRPr="009B0120">
        <w:rPr>
          <w:lang w:val="fr-FR"/>
        </w:rPr>
        <w:t>article 3 de la Convention se lit ainsi :</w:t>
      </w:r>
    </w:p>
    <w:p w:rsidR="008B783C" w:rsidRPr="009B0120" w:rsidRDefault="008B783C" w:rsidP="009B0120">
      <w:pPr>
        <w:pStyle w:val="ECHRParaQuote"/>
        <w:rPr>
          <w:lang w:val="fr-FR"/>
        </w:rPr>
      </w:pPr>
      <w:r w:rsidRPr="009B0120">
        <w:rPr>
          <w:lang w:val="fr-FR"/>
        </w:rPr>
        <w:t>« Nul ne peut être soumis à la torture ni à des peines ou traitements inhumains ou dégradants »</w:t>
      </w:r>
    </w:p>
    <w:p w:rsidR="000E2C3F" w:rsidRPr="009B0120" w:rsidRDefault="008B783C" w:rsidP="009B0120">
      <w:pPr>
        <w:pStyle w:val="ECHRPara"/>
        <w:rPr>
          <w:lang w:val="fr-FR" w:eastAsia="fr-FR"/>
        </w:rPr>
      </w:pPr>
      <w:r w:rsidRPr="009B0120">
        <w:rPr>
          <w:lang w:val="fr-FR"/>
        </w:rPr>
        <w:t>34.  Se référant à sa jurisprudence au sujet de l</w:t>
      </w:r>
      <w:r w:rsidR="009B0120" w:rsidRPr="009B0120">
        <w:rPr>
          <w:lang w:val="fr-FR"/>
        </w:rPr>
        <w:t>’</w:t>
      </w:r>
      <w:r w:rsidRPr="009B0120">
        <w:rPr>
          <w:lang w:val="fr-FR"/>
        </w:rPr>
        <w:t>article 34 de la Convention (paragraphe 27 ci-dessus), la Cour estime que ce grief est étroitement lié au requérant et n</w:t>
      </w:r>
      <w:r w:rsidR="009B0120" w:rsidRPr="009B0120">
        <w:rPr>
          <w:lang w:val="fr-FR"/>
        </w:rPr>
        <w:t>’</w:t>
      </w:r>
      <w:r w:rsidRPr="009B0120">
        <w:rPr>
          <w:lang w:val="fr-FR"/>
        </w:rPr>
        <w:t>est pas transférable à ses héritiers. Dès lors, les proches du requérant n</w:t>
      </w:r>
      <w:r w:rsidR="009B0120" w:rsidRPr="009B0120">
        <w:rPr>
          <w:lang w:val="fr-FR"/>
        </w:rPr>
        <w:t>’</w:t>
      </w:r>
      <w:r w:rsidRPr="009B0120">
        <w:rPr>
          <w:lang w:val="fr-FR"/>
        </w:rPr>
        <w:t xml:space="preserve">ont pas de </w:t>
      </w:r>
      <w:r w:rsidRPr="009B0120">
        <w:rPr>
          <w:i/>
          <w:lang w:val="fr-FR"/>
        </w:rPr>
        <w:t>locus standi</w:t>
      </w:r>
      <w:r w:rsidRPr="009B0120">
        <w:rPr>
          <w:lang w:val="fr-FR"/>
        </w:rPr>
        <w:t xml:space="preserve"> devant elle pour ce qui est du grief tiré du surpeuplement carcéral (</w:t>
      </w:r>
      <w:r w:rsidRPr="009B0120">
        <w:rPr>
          <w:i/>
          <w:lang w:val="fr-FR"/>
        </w:rPr>
        <w:t>mutatis mutandis</w:t>
      </w:r>
      <w:r w:rsidRPr="009B0120">
        <w:rPr>
          <w:lang w:val="fr-FR"/>
        </w:rPr>
        <w:t xml:space="preserve">, </w:t>
      </w:r>
      <w:r w:rsidRPr="009B0120">
        <w:rPr>
          <w:rFonts w:ascii="Times New Roman" w:eastAsia="Times New Roman" w:hAnsi="Times New Roman" w:cs="Times New Roman"/>
          <w:i/>
          <w:szCs w:val="24"/>
          <w:lang w:val="fr-FR"/>
        </w:rPr>
        <w:t>M.P. et autres c. Bulgarie</w:t>
      </w:r>
      <w:r w:rsidRPr="009B0120">
        <w:rPr>
          <w:rFonts w:ascii="Times New Roman" w:eastAsia="Times New Roman" w:hAnsi="Times New Roman" w:cs="Times New Roman"/>
          <w:szCs w:val="24"/>
          <w:lang w:val="fr-FR"/>
        </w:rPr>
        <w:t xml:space="preserve">, précité, §§ 96-100 ; </w:t>
      </w:r>
      <w:r w:rsidRPr="009B0120">
        <w:rPr>
          <w:rFonts w:ascii="Times New Roman" w:eastAsia="Times New Roman" w:hAnsi="Times New Roman" w:cs="Times New Roman"/>
          <w:i/>
          <w:szCs w:val="24"/>
          <w:lang w:val="fr-FR"/>
        </w:rPr>
        <w:t>a contrario</w:t>
      </w:r>
      <w:r w:rsidRPr="009B0120">
        <w:rPr>
          <w:rFonts w:ascii="Times New Roman" w:eastAsia="Times New Roman" w:hAnsi="Times New Roman" w:cs="Times New Roman"/>
          <w:szCs w:val="24"/>
          <w:lang w:val="fr-FR"/>
        </w:rPr>
        <w:t>,</w:t>
      </w:r>
      <w:bookmarkStart w:id="1" w:name="File18"/>
      <w:r w:rsidRPr="009B0120">
        <w:rPr>
          <w:i/>
          <w:lang w:val="fr-FR" w:eastAsia="fr-FR"/>
        </w:rPr>
        <w:t xml:space="preserve"> Kurt</w:t>
      </w:r>
      <w:bookmarkEnd w:id="1"/>
      <w:r w:rsidRPr="009B0120">
        <w:rPr>
          <w:i/>
          <w:lang w:val="fr-FR" w:eastAsia="fr-FR"/>
        </w:rPr>
        <w:t xml:space="preserve"> c. Turquie</w:t>
      </w:r>
      <w:r w:rsidRPr="009B0120">
        <w:rPr>
          <w:lang w:val="fr-FR" w:eastAsia="fr-FR"/>
        </w:rPr>
        <w:t>, 25 mai 1998, §§</w:t>
      </w:r>
      <w:r w:rsidR="000E2C3F" w:rsidRPr="009B0120">
        <w:rPr>
          <w:lang w:val="fr-FR" w:eastAsia="fr-FR"/>
        </w:rPr>
        <w:t> </w:t>
      </w:r>
      <w:r w:rsidRPr="009B0120">
        <w:rPr>
          <w:lang w:val="fr-FR" w:eastAsia="fr-FR"/>
        </w:rPr>
        <w:t xml:space="preserve">130-134, </w:t>
      </w:r>
      <w:r w:rsidRPr="009B0120">
        <w:rPr>
          <w:i/>
          <w:lang w:val="fr-FR" w:eastAsia="fr-FR"/>
        </w:rPr>
        <w:t xml:space="preserve">Recueil </w:t>
      </w:r>
      <w:r w:rsidRPr="009B0120">
        <w:rPr>
          <w:lang w:val="fr-FR" w:eastAsia="fr-FR"/>
        </w:rPr>
        <w:t>1998</w:t>
      </w:r>
      <w:r w:rsidRPr="009B0120">
        <w:rPr>
          <w:lang w:val="fr-FR" w:eastAsia="fr-FR"/>
        </w:rPr>
        <w:noBreakHyphen/>
        <w:t>III).</w:t>
      </w:r>
    </w:p>
    <w:p w:rsidR="000E2C3F" w:rsidRPr="009B0120" w:rsidRDefault="008B783C" w:rsidP="009B0120">
      <w:pPr>
        <w:pStyle w:val="ECHRPara"/>
        <w:rPr>
          <w:lang w:val="fr-FR"/>
        </w:rPr>
      </w:pPr>
      <w:r w:rsidRPr="009B0120">
        <w:rPr>
          <w:lang w:val="fr-FR"/>
        </w:rPr>
        <w:lastRenderedPageBreak/>
        <w:t>35.  Il s</w:t>
      </w:r>
      <w:r w:rsidR="009B0120" w:rsidRPr="009B0120">
        <w:rPr>
          <w:lang w:val="fr-FR"/>
        </w:rPr>
        <w:t>’</w:t>
      </w:r>
      <w:r w:rsidRPr="009B0120">
        <w:rPr>
          <w:lang w:val="fr-FR"/>
        </w:rPr>
        <w:t xml:space="preserve">ensuit que cette partie de la requête est incompatible </w:t>
      </w:r>
      <w:r w:rsidRPr="009B0120">
        <w:rPr>
          <w:i/>
          <w:lang w:val="fr-FR"/>
        </w:rPr>
        <w:t>ratione personae</w:t>
      </w:r>
      <w:r w:rsidRPr="009B0120">
        <w:rPr>
          <w:lang w:val="fr-FR"/>
        </w:rPr>
        <w:t xml:space="preserve"> avec les dispositions de la Convention et doit être rejetée au sens de l</w:t>
      </w:r>
      <w:r w:rsidR="009B0120" w:rsidRPr="009B0120">
        <w:rPr>
          <w:lang w:val="fr-FR"/>
        </w:rPr>
        <w:t>’</w:t>
      </w:r>
      <w:r w:rsidRPr="009B0120">
        <w:rPr>
          <w:lang w:val="fr-FR"/>
        </w:rPr>
        <w:t>article 35 §§ 3 et 4 de la Convention.</w:t>
      </w:r>
    </w:p>
    <w:p w:rsidR="008B783C" w:rsidRPr="009B0120" w:rsidRDefault="008B783C" w:rsidP="009B0120">
      <w:pPr>
        <w:pStyle w:val="JuParaLast"/>
        <w:rPr>
          <w:lang w:val="fr-FR"/>
        </w:rPr>
      </w:pPr>
      <w:r w:rsidRPr="009B0120">
        <w:rPr>
          <w:lang w:val="fr-FR"/>
        </w:rPr>
        <w:t>Par ces motifs, la Cour, à l</w:t>
      </w:r>
      <w:r w:rsidR="009B0120" w:rsidRPr="009B0120">
        <w:rPr>
          <w:lang w:val="fr-FR"/>
        </w:rPr>
        <w:t>’</w:t>
      </w:r>
      <w:r w:rsidRPr="009B0120">
        <w:rPr>
          <w:lang w:val="fr-FR"/>
        </w:rPr>
        <w:t>unanimité,</w:t>
      </w:r>
    </w:p>
    <w:p w:rsidR="008B783C" w:rsidRPr="009B0120" w:rsidRDefault="008B783C" w:rsidP="009B0120">
      <w:pPr>
        <w:pStyle w:val="DecList"/>
        <w:rPr>
          <w:lang w:val="fr-FR"/>
        </w:rPr>
      </w:pPr>
      <w:r w:rsidRPr="009B0120">
        <w:rPr>
          <w:i/>
          <w:lang w:val="fr-FR"/>
        </w:rPr>
        <w:t>Déclare</w:t>
      </w:r>
      <w:r w:rsidRPr="009B0120">
        <w:rPr>
          <w:lang w:val="fr-FR"/>
        </w:rPr>
        <w:t xml:space="preserve"> la requête irrecevable.</w:t>
      </w:r>
    </w:p>
    <w:p w:rsidR="006544C4" w:rsidRPr="009B0120" w:rsidRDefault="006544C4" w:rsidP="009B0120">
      <w:pPr>
        <w:pStyle w:val="ECHRPara"/>
        <w:rPr>
          <w:sz w:val="2"/>
          <w:szCs w:val="2"/>
          <w:lang w:val="fr-FR" w:eastAsia="en-GB"/>
        </w:rPr>
      </w:pPr>
    </w:p>
    <w:p w:rsidR="00050A32" w:rsidRPr="009B0120" w:rsidRDefault="00F40988" w:rsidP="009B0120">
      <w:pPr>
        <w:pStyle w:val="JuParaLast"/>
        <w:rPr>
          <w:lang w:val="fr-FR"/>
        </w:rPr>
      </w:pPr>
      <w:r w:rsidRPr="009B0120">
        <w:rPr>
          <w:szCs w:val="24"/>
          <w:lang w:val="fr-FR"/>
        </w:rPr>
        <w:t xml:space="preserve">Fait en français puis communiqué par écrit le </w:t>
      </w:r>
      <w:r w:rsidR="008B783C" w:rsidRPr="009B0120">
        <w:rPr>
          <w:szCs w:val="24"/>
          <w:lang w:val="fr-FR"/>
        </w:rPr>
        <w:t>27 octobre 2016</w:t>
      </w:r>
      <w:r w:rsidRPr="009B0120">
        <w:rPr>
          <w:lang w:val="fr-FR"/>
        </w:rPr>
        <w:t>.</w:t>
      </w:r>
    </w:p>
    <w:p w:rsidR="0091478F" w:rsidRPr="009B0120" w:rsidRDefault="00050A32" w:rsidP="009B0120">
      <w:pPr>
        <w:pStyle w:val="JuSigned"/>
        <w:rPr>
          <w:lang w:val="fr-FR"/>
        </w:rPr>
      </w:pPr>
      <w:r w:rsidRPr="009B0120">
        <w:rPr>
          <w:lang w:val="fr-FR"/>
        </w:rPr>
        <w:tab/>
      </w:r>
      <w:r w:rsidR="008B783C" w:rsidRPr="009B0120">
        <w:rPr>
          <w:lang w:val="fr-FR"/>
        </w:rPr>
        <w:t>Renata Degener</w:t>
      </w:r>
      <w:r w:rsidR="0091478F" w:rsidRPr="009B0120">
        <w:rPr>
          <w:lang w:val="fr-FR"/>
        </w:rPr>
        <w:tab/>
      </w:r>
      <w:r w:rsidR="008B783C" w:rsidRPr="009B0120">
        <w:rPr>
          <w:lang w:val="fr-FR"/>
        </w:rPr>
        <w:t>Ledi Bianku</w:t>
      </w:r>
      <w:r w:rsidR="009B0120" w:rsidRPr="009B0120">
        <w:rPr>
          <w:lang w:val="fr-FR"/>
        </w:rPr>
        <w:br/>
      </w:r>
      <w:r w:rsidR="008B783C" w:rsidRPr="009B0120">
        <w:rPr>
          <w:lang w:val="fr-FR"/>
        </w:rPr>
        <w:t>Greffière adjointe</w:t>
      </w:r>
      <w:r w:rsidR="0091478F" w:rsidRPr="009B0120">
        <w:rPr>
          <w:lang w:val="fr-FR"/>
        </w:rPr>
        <w:tab/>
      </w:r>
      <w:r w:rsidR="008B783C" w:rsidRPr="009B0120">
        <w:rPr>
          <w:lang w:val="fr-FR"/>
        </w:rPr>
        <w:t>Président</w:t>
      </w:r>
    </w:p>
    <w:sectPr w:rsidR="0091478F" w:rsidRPr="009B0120"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FA" w:rsidRPr="00AC6FC1" w:rsidRDefault="008809FA" w:rsidP="006544C4">
      <w:pPr>
        <w:rPr>
          <w:lang w:val="fr-FR"/>
        </w:rPr>
      </w:pPr>
      <w:r w:rsidRPr="00AC6FC1">
        <w:rPr>
          <w:lang w:val="fr-FR"/>
        </w:rPr>
        <w:separator/>
      </w:r>
    </w:p>
  </w:endnote>
  <w:endnote w:type="continuationSeparator" w:id="0">
    <w:p w:rsidR="008809FA" w:rsidRPr="00AC6FC1" w:rsidRDefault="008809FA" w:rsidP="006544C4">
      <w:pPr>
        <w:rPr>
          <w:lang w:val="fr-FR"/>
        </w:rPr>
      </w:pPr>
      <w:r w:rsidRPr="00AC6FC1">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3C" w:rsidRDefault="008B783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3C" w:rsidRDefault="008B783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3C" w:rsidRPr="00150BFA" w:rsidRDefault="008B783C" w:rsidP="0020718E">
    <w:pPr>
      <w:jc w:val="center"/>
    </w:pPr>
    <w:r>
      <w:rPr>
        <w:noProof/>
        <w:lang w:val="it-IT" w:eastAsia="it-IT"/>
      </w:rPr>
      <w:drawing>
        <wp:inline distT="0" distB="0" distL="0" distR="0" wp14:anchorId="31E6E606" wp14:editId="021332A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AC6FC1" w:rsidRDefault="008809FA"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FA" w:rsidRPr="00AC6FC1" w:rsidRDefault="008809FA" w:rsidP="006544C4">
      <w:pPr>
        <w:rPr>
          <w:lang w:val="fr-FR"/>
        </w:rPr>
      </w:pPr>
      <w:r w:rsidRPr="00AC6FC1">
        <w:rPr>
          <w:lang w:val="fr-FR"/>
        </w:rPr>
        <w:separator/>
      </w:r>
    </w:p>
  </w:footnote>
  <w:footnote w:type="continuationSeparator" w:id="0">
    <w:p w:rsidR="008809FA" w:rsidRPr="00AC6FC1" w:rsidRDefault="008809FA" w:rsidP="006544C4">
      <w:pPr>
        <w:rPr>
          <w:lang w:val="fr-FR"/>
        </w:rPr>
      </w:pPr>
      <w:r w:rsidRPr="00AC6FC1">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8B783C" w:rsidP="003312A3">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EC3C3B">
      <w:rPr>
        <w:rStyle w:val="Numeropagina"/>
        <w:noProof/>
        <w:lang w:val="fr-FR"/>
      </w:rPr>
      <w:t>2</w:t>
    </w:r>
    <w:r>
      <w:rPr>
        <w:rStyle w:val="Numeropagina"/>
        <w:lang w:val="fr-FR"/>
      </w:rPr>
      <w:fldChar w:fldCharType="end"/>
    </w:r>
    <w:r w:rsidR="00334EC5" w:rsidRPr="00AC6FC1">
      <w:rPr>
        <w:lang w:val="fr-FR"/>
      </w:rPr>
      <w:tab/>
      <w:t xml:space="preserve">DÉCISION </w:t>
    </w:r>
    <w:r>
      <w:rPr>
        <w:lang w:val="fr-FR"/>
      </w:rPr>
      <w:t>PATITUCCI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AC6FC1" w:rsidRDefault="00334EC5" w:rsidP="006544C4">
    <w:pPr>
      <w:pStyle w:val="ECHRHeader"/>
      <w:rPr>
        <w:lang w:val="fr-FR"/>
      </w:rPr>
    </w:pPr>
    <w:r w:rsidRPr="00AC6FC1">
      <w:rPr>
        <w:lang w:val="fr-FR"/>
      </w:rPr>
      <w:tab/>
      <w:t xml:space="preserve">DÉCISION </w:t>
    </w:r>
    <w:r w:rsidR="008B783C">
      <w:rPr>
        <w:lang w:val="fr-FR"/>
      </w:rPr>
      <w:t>PATITUCCI c. ITALIE</w:t>
    </w:r>
    <w:r w:rsidRPr="00AC6FC1">
      <w:rPr>
        <w:lang w:val="fr-FR"/>
      </w:rPr>
      <w:tab/>
    </w:r>
    <w:r w:rsidR="008B783C">
      <w:rPr>
        <w:rStyle w:val="Numeropagina"/>
        <w:lang w:val="fr-FR"/>
      </w:rPr>
      <w:fldChar w:fldCharType="begin"/>
    </w:r>
    <w:r w:rsidR="008B783C">
      <w:rPr>
        <w:rStyle w:val="Numeropagina"/>
        <w:lang w:val="fr-FR"/>
      </w:rPr>
      <w:instrText xml:space="preserve"> PAGE </w:instrText>
    </w:r>
    <w:r w:rsidR="008B783C">
      <w:rPr>
        <w:rStyle w:val="Numeropagina"/>
        <w:lang w:val="fr-FR"/>
      </w:rPr>
      <w:fldChar w:fldCharType="separate"/>
    </w:r>
    <w:r w:rsidR="00EC3C3B">
      <w:rPr>
        <w:rStyle w:val="Numeropagina"/>
        <w:noProof/>
        <w:lang w:val="fr-FR"/>
      </w:rPr>
      <w:t>7</w:t>
    </w:r>
    <w:r w:rsidR="008B783C">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3C" w:rsidRPr="00A45145" w:rsidRDefault="008B783C" w:rsidP="00A45145">
    <w:pPr>
      <w:jc w:val="center"/>
    </w:pPr>
    <w:r>
      <w:rPr>
        <w:noProof/>
        <w:lang w:val="it-IT" w:eastAsia="it-IT"/>
      </w:rPr>
      <w:drawing>
        <wp:inline distT="0" distB="0" distL="0" distR="0" wp14:anchorId="0B38652C" wp14:editId="0D8E0F5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AC6FC1" w:rsidRDefault="008809FA"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8B783C"/>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2C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9657F"/>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C7243"/>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14B1"/>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809FA"/>
    <w:rsid w:val="00893576"/>
    <w:rsid w:val="00893E73"/>
    <w:rsid w:val="008B02DC"/>
    <w:rsid w:val="008B57CE"/>
    <w:rsid w:val="008B783C"/>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1046"/>
    <w:rsid w:val="009630C7"/>
    <w:rsid w:val="00972B55"/>
    <w:rsid w:val="009743B7"/>
    <w:rsid w:val="00977DA8"/>
    <w:rsid w:val="0098228B"/>
    <w:rsid w:val="009828DA"/>
    <w:rsid w:val="00985BAB"/>
    <w:rsid w:val="009B0120"/>
    <w:rsid w:val="009B1B5F"/>
    <w:rsid w:val="009B6673"/>
    <w:rsid w:val="009B769C"/>
    <w:rsid w:val="009C191B"/>
    <w:rsid w:val="009C2BD6"/>
    <w:rsid w:val="009E1F32"/>
    <w:rsid w:val="009E776C"/>
    <w:rsid w:val="009F1D6B"/>
    <w:rsid w:val="00A06EC3"/>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239B"/>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064"/>
    <w:rsid w:val="00B33C03"/>
    <w:rsid w:val="00B44E56"/>
    <w:rsid w:val="00B46543"/>
    <w:rsid w:val="00B47D33"/>
    <w:rsid w:val="00B52BE0"/>
    <w:rsid w:val="00B52DDE"/>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04E7"/>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55BE5"/>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3C3B"/>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5F14B1"/>
    <w:pPr>
      <w:jc w:val="both"/>
    </w:pPr>
    <w:rPr>
      <w:rFonts w:eastAsiaTheme="minorEastAsia"/>
      <w:sz w:val="24"/>
    </w:rPr>
  </w:style>
  <w:style w:type="paragraph" w:styleId="Titolo1">
    <w:name w:val="heading 1"/>
    <w:basedOn w:val="Normale"/>
    <w:next w:val="Normale"/>
    <w:link w:val="Titolo1Carattere"/>
    <w:uiPriority w:val="99"/>
    <w:semiHidden/>
    <w:rsid w:val="00D43F5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43F5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43F5E"/>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43F5E"/>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F14B1"/>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D43F5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F14B1"/>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5F14B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F14B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43F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3F5E"/>
    <w:rPr>
      <w:rFonts w:ascii="Tahoma" w:eastAsiaTheme="minorEastAsia" w:hAnsi="Tahoma" w:cs="Tahoma"/>
      <w:sz w:val="16"/>
      <w:szCs w:val="16"/>
    </w:rPr>
  </w:style>
  <w:style w:type="character" w:styleId="Titolodellibro">
    <w:name w:val="Book Title"/>
    <w:uiPriority w:val="99"/>
    <w:semiHidden/>
    <w:qFormat/>
    <w:rsid w:val="005F14B1"/>
    <w:rPr>
      <w:i/>
      <w:iCs/>
      <w:smallCaps/>
      <w:spacing w:val="5"/>
    </w:rPr>
  </w:style>
  <w:style w:type="paragraph" w:customStyle="1" w:styleId="ECHRHeader">
    <w:name w:val="ECHR_Header"/>
    <w:aliases w:val="Ju_Header"/>
    <w:basedOn w:val="Intestazione"/>
    <w:uiPriority w:val="4"/>
    <w:qFormat/>
    <w:rsid w:val="005F14B1"/>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5F14B1"/>
    <w:pPr>
      <w:numPr>
        <w:numId w:val="27"/>
      </w:numPr>
      <w:jc w:val="left"/>
    </w:pPr>
    <w:rPr>
      <w:b/>
    </w:rPr>
  </w:style>
  <w:style w:type="character" w:styleId="Enfasigrassetto">
    <w:name w:val="Strong"/>
    <w:uiPriority w:val="99"/>
    <w:semiHidden/>
    <w:qFormat/>
    <w:rsid w:val="005F14B1"/>
    <w:rPr>
      <w:b/>
      <w:bCs/>
    </w:rPr>
  </w:style>
  <w:style w:type="paragraph" w:styleId="Nessunaspaziatura">
    <w:name w:val="No Spacing"/>
    <w:basedOn w:val="Normale"/>
    <w:link w:val="NessunaspaziaturaCarattere"/>
    <w:semiHidden/>
    <w:qFormat/>
    <w:rsid w:val="005F14B1"/>
    <w:rPr>
      <w:sz w:val="22"/>
    </w:rPr>
  </w:style>
  <w:style w:type="character" w:customStyle="1" w:styleId="NessunaspaziaturaCarattere">
    <w:name w:val="Nessuna spaziatura Carattere"/>
    <w:basedOn w:val="Carpredefinitoparagrafo"/>
    <w:link w:val="Nessunaspaziatura"/>
    <w:semiHidden/>
    <w:rsid w:val="005F14B1"/>
    <w:rPr>
      <w:rFonts w:eastAsiaTheme="minorEastAsia"/>
    </w:rPr>
  </w:style>
  <w:style w:type="paragraph" w:customStyle="1" w:styleId="OpiPara">
    <w:name w:val="Opi_Para"/>
    <w:basedOn w:val="ECHRPara"/>
    <w:uiPriority w:val="46"/>
    <w:semiHidden/>
    <w:qFormat/>
    <w:rsid w:val="005F14B1"/>
  </w:style>
  <w:style w:type="paragraph" w:customStyle="1" w:styleId="ECHRParaQuote">
    <w:name w:val="ECHR_Para_Quote"/>
    <w:aliases w:val="Ju_Quot"/>
    <w:basedOn w:val="Normale"/>
    <w:uiPriority w:val="14"/>
    <w:qFormat/>
    <w:rsid w:val="005F14B1"/>
    <w:pPr>
      <w:spacing w:before="120" w:after="120"/>
      <w:ind w:left="425" w:firstLine="142"/>
    </w:pPr>
    <w:rPr>
      <w:sz w:val="20"/>
    </w:rPr>
  </w:style>
  <w:style w:type="paragraph" w:customStyle="1" w:styleId="JuParaSub">
    <w:name w:val="Ju_Para_Sub"/>
    <w:basedOn w:val="ECHRPara"/>
    <w:uiPriority w:val="13"/>
    <w:qFormat/>
    <w:rsid w:val="005F14B1"/>
    <w:pPr>
      <w:ind w:left="284"/>
    </w:pPr>
  </w:style>
  <w:style w:type="paragraph" w:customStyle="1" w:styleId="OpiParaSub">
    <w:name w:val="Opi_Para_Sub"/>
    <w:basedOn w:val="JuParaSub"/>
    <w:uiPriority w:val="47"/>
    <w:semiHidden/>
    <w:qFormat/>
    <w:rsid w:val="005F14B1"/>
  </w:style>
  <w:style w:type="paragraph" w:customStyle="1" w:styleId="OpiQuot">
    <w:name w:val="Opi_Quot"/>
    <w:basedOn w:val="ECHRParaQuote"/>
    <w:uiPriority w:val="48"/>
    <w:semiHidden/>
    <w:qFormat/>
    <w:rsid w:val="005F14B1"/>
  </w:style>
  <w:style w:type="paragraph" w:customStyle="1" w:styleId="OpiQuotSub">
    <w:name w:val="Opi_Quot_Sub"/>
    <w:basedOn w:val="JuQuotSub"/>
    <w:uiPriority w:val="49"/>
    <w:semiHidden/>
    <w:qFormat/>
    <w:rsid w:val="005F14B1"/>
  </w:style>
  <w:style w:type="paragraph" w:customStyle="1" w:styleId="ECHRTitleCentre3">
    <w:name w:val="ECHR_Title_Centre_3"/>
    <w:aliases w:val="Ju_H_Article"/>
    <w:basedOn w:val="Normale"/>
    <w:next w:val="ECHRParaQuote"/>
    <w:uiPriority w:val="27"/>
    <w:qFormat/>
    <w:rsid w:val="005F14B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5F14B1"/>
    <w:pPr>
      <w:keepNext/>
      <w:keepLines/>
      <w:spacing w:after="240"/>
      <w:jc w:val="center"/>
      <w:outlineLvl w:val="0"/>
    </w:pPr>
    <w:rPr>
      <w:rFonts w:asciiTheme="majorHAnsi" w:hAnsiTheme="majorHAnsi"/>
      <w:sz w:val="28"/>
    </w:rPr>
  </w:style>
  <w:style w:type="paragraph" w:customStyle="1" w:styleId="JuTitle">
    <w:name w:val="Ju_Title"/>
    <w:basedOn w:val="Normale"/>
    <w:next w:val="ECHRPara"/>
    <w:uiPriority w:val="3"/>
    <w:qFormat/>
    <w:rsid w:val="005F14B1"/>
    <w:pPr>
      <w:spacing w:before="720" w:after="240"/>
      <w:jc w:val="center"/>
      <w:outlineLvl w:val="0"/>
    </w:pPr>
    <w:rPr>
      <w:rFonts w:asciiTheme="majorHAnsi" w:hAnsiTheme="majorHAnsi"/>
      <w:b/>
      <w:caps/>
    </w:rPr>
  </w:style>
  <w:style w:type="paragraph" w:customStyle="1" w:styleId="ECHRTitle1">
    <w:name w:val="ECHR_Title_1"/>
    <w:aliases w:val="Ju_H_Head"/>
    <w:basedOn w:val="Normale"/>
    <w:next w:val="ECHRPara"/>
    <w:uiPriority w:val="18"/>
    <w:qFormat/>
    <w:rsid w:val="005F14B1"/>
    <w:pPr>
      <w:keepNext/>
      <w:keepLines/>
      <w:spacing w:before="720" w:after="240"/>
      <w:outlineLvl w:val="0"/>
    </w:pPr>
    <w:rPr>
      <w:rFonts w:asciiTheme="majorHAnsi" w:hAnsiTheme="majorHAnsi"/>
      <w:sz w:val="28"/>
    </w:rPr>
  </w:style>
  <w:style w:type="paragraph" w:customStyle="1" w:styleId="JuQuotSub">
    <w:name w:val="Ju_Quot_Sub"/>
    <w:basedOn w:val="ECHRParaQuote"/>
    <w:uiPriority w:val="15"/>
    <w:qFormat/>
    <w:rsid w:val="005F14B1"/>
    <w:pPr>
      <w:ind w:left="567"/>
    </w:pPr>
  </w:style>
  <w:style w:type="paragraph" w:styleId="Titolo">
    <w:name w:val="Title"/>
    <w:basedOn w:val="Normale"/>
    <w:next w:val="Normale"/>
    <w:link w:val="TitoloCarattere"/>
    <w:uiPriority w:val="99"/>
    <w:semiHidden/>
    <w:qFormat/>
    <w:rsid w:val="005F14B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F14B1"/>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5F14B1"/>
    <w:pPr>
      <w:tabs>
        <w:tab w:val="center" w:pos="6407"/>
      </w:tabs>
      <w:spacing w:before="720"/>
      <w:jc w:val="right"/>
    </w:pPr>
  </w:style>
  <w:style w:type="paragraph" w:customStyle="1" w:styleId="OpiHA">
    <w:name w:val="Opi_H_A"/>
    <w:basedOn w:val="ECHRHeading1"/>
    <w:next w:val="OpiPara"/>
    <w:uiPriority w:val="41"/>
    <w:semiHidden/>
    <w:qFormat/>
    <w:rsid w:val="005F14B1"/>
    <w:pPr>
      <w:tabs>
        <w:tab w:val="clear" w:pos="357"/>
      </w:tabs>
      <w:outlineLvl w:val="1"/>
    </w:pPr>
    <w:rPr>
      <w:b/>
    </w:rPr>
  </w:style>
  <w:style w:type="character" w:customStyle="1" w:styleId="JUNAMES">
    <w:name w:val="JU_NAMES"/>
    <w:uiPriority w:val="17"/>
    <w:qFormat/>
    <w:rsid w:val="005F14B1"/>
    <w:rPr>
      <w:caps w:val="0"/>
      <w:smallCaps/>
    </w:rPr>
  </w:style>
  <w:style w:type="character" w:customStyle="1" w:styleId="JuITMark">
    <w:name w:val="Ju_ITMark"/>
    <w:basedOn w:val="Carpredefinitoparagrafo"/>
    <w:uiPriority w:val="38"/>
    <w:qFormat/>
    <w:rsid w:val="005F14B1"/>
    <w:rPr>
      <w:vanish w:val="0"/>
      <w:color w:val="auto"/>
      <w:sz w:val="14"/>
    </w:rPr>
  </w:style>
  <w:style w:type="paragraph" w:customStyle="1" w:styleId="OpiTranslation">
    <w:name w:val="Opi_Translation"/>
    <w:basedOn w:val="Normale"/>
    <w:next w:val="OpiPara"/>
    <w:uiPriority w:val="40"/>
    <w:semiHidden/>
    <w:qFormat/>
    <w:rsid w:val="005F14B1"/>
    <w:pPr>
      <w:jc w:val="center"/>
      <w:outlineLvl w:val="0"/>
    </w:pPr>
    <w:rPr>
      <w:i/>
    </w:rPr>
  </w:style>
  <w:style w:type="paragraph" w:customStyle="1" w:styleId="ECHRHeading1">
    <w:name w:val="ECHR_Heading_1"/>
    <w:aliases w:val="Ju_H_I_Roman"/>
    <w:basedOn w:val="Titolo1"/>
    <w:next w:val="ECHRPara"/>
    <w:uiPriority w:val="19"/>
    <w:qFormat/>
    <w:rsid w:val="005F14B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5F14B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5F14B1"/>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D43F5E"/>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43F5E"/>
    <w:rPr>
      <w:sz w:val="24"/>
    </w:rPr>
  </w:style>
  <w:style w:type="character" w:customStyle="1" w:styleId="Titolo1Carattere">
    <w:name w:val="Titolo 1 Carattere"/>
    <w:basedOn w:val="Carpredefinitoparagrafo"/>
    <w:link w:val="Titolo1"/>
    <w:uiPriority w:val="99"/>
    <w:semiHidden/>
    <w:rsid w:val="00D43F5E"/>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5F14B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5F14B1"/>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D43F5E"/>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5F14B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5F14B1"/>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D43F5E"/>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5F14B1"/>
    <w:pPr>
      <w:keepNext/>
      <w:keepLines/>
      <w:spacing w:before="240"/>
      <w:ind w:firstLine="284"/>
    </w:pPr>
  </w:style>
  <w:style w:type="paragraph" w:customStyle="1" w:styleId="DecList">
    <w:name w:val="Dec_List"/>
    <w:basedOn w:val="Normale"/>
    <w:uiPriority w:val="9"/>
    <w:qFormat/>
    <w:rsid w:val="005F14B1"/>
    <w:pPr>
      <w:spacing w:before="240"/>
      <w:ind w:left="284"/>
    </w:pPr>
  </w:style>
  <w:style w:type="character" w:customStyle="1" w:styleId="Titolo4Carattere">
    <w:name w:val="Titolo 4 Carattere"/>
    <w:basedOn w:val="Carpredefinitoparagrafo"/>
    <w:link w:val="Titolo4"/>
    <w:uiPriority w:val="99"/>
    <w:semiHidden/>
    <w:rsid w:val="00D43F5E"/>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5F14B1"/>
    <w:pPr>
      <w:tabs>
        <w:tab w:val="left" w:pos="567"/>
        <w:tab w:val="left" w:pos="1134"/>
      </w:tabs>
      <w:jc w:val="left"/>
    </w:pPr>
  </w:style>
  <w:style w:type="character" w:customStyle="1" w:styleId="Titolo5Carattere">
    <w:name w:val="Titolo 5 Carattere"/>
    <w:basedOn w:val="Carpredefinitoparagrafo"/>
    <w:link w:val="Titolo5"/>
    <w:uiPriority w:val="99"/>
    <w:semiHidden/>
    <w:rsid w:val="005F14B1"/>
    <w:rPr>
      <w:rFonts w:asciiTheme="majorHAnsi" w:eastAsiaTheme="majorEastAsia" w:hAnsiTheme="majorHAnsi" w:cstheme="majorBidi"/>
      <w:b/>
      <w:bCs/>
      <w:color w:val="808080"/>
    </w:rPr>
  </w:style>
  <w:style w:type="paragraph" w:customStyle="1" w:styleId="JuCourt">
    <w:name w:val="Ju_Court"/>
    <w:basedOn w:val="Normale"/>
    <w:next w:val="Normale"/>
    <w:uiPriority w:val="16"/>
    <w:qFormat/>
    <w:rsid w:val="005F14B1"/>
    <w:pPr>
      <w:tabs>
        <w:tab w:val="left" w:pos="907"/>
        <w:tab w:val="left" w:pos="1701"/>
        <w:tab w:val="right" w:pos="7371"/>
      </w:tabs>
      <w:spacing w:before="240"/>
      <w:ind w:left="397" w:hanging="397"/>
      <w:jc w:val="left"/>
    </w:pPr>
    <w:rPr>
      <w:lang w:bidi="en-US"/>
    </w:rPr>
  </w:style>
  <w:style w:type="paragraph" w:customStyle="1" w:styleId="JuList">
    <w:name w:val="Ju_List"/>
    <w:basedOn w:val="Normale"/>
    <w:uiPriority w:val="28"/>
    <w:qFormat/>
    <w:rsid w:val="005F14B1"/>
    <w:pPr>
      <w:ind w:left="340" w:hanging="340"/>
    </w:pPr>
  </w:style>
  <w:style w:type="character" w:styleId="Enfasidelicata">
    <w:name w:val="Subtle Emphasis"/>
    <w:uiPriority w:val="99"/>
    <w:semiHidden/>
    <w:qFormat/>
    <w:rsid w:val="005F14B1"/>
    <w:rPr>
      <w:i/>
      <w:iCs/>
    </w:rPr>
  </w:style>
  <w:style w:type="paragraph" w:customStyle="1" w:styleId="JuLista">
    <w:name w:val="Ju_List_a"/>
    <w:basedOn w:val="JuList"/>
    <w:uiPriority w:val="28"/>
    <w:qFormat/>
    <w:rsid w:val="005F14B1"/>
    <w:pPr>
      <w:ind w:left="346" w:firstLine="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basedOn w:val="Normale"/>
    <w:next w:val="JuLista"/>
    <w:uiPriority w:val="28"/>
    <w:qFormat/>
    <w:rsid w:val="005F14B1"/>
    <w:pPr>
      <w:ind w:left="794"/>
    </w:pPr>
  </w:style>
  <w:style w:type="paragraph" w:customStyle="1" w:styleId="OpiH1">
    <w:name w:val="Opi_H_1"/>
    <w:basedOn w:val="ECHRHeading2"/>
    <w:uiPriority w:val="42"/>
    <w:semiHidden/>
    <w:qFormat/>
    <w:rsid w:val="005F14B1"/>
    <w:pPr>
      <w:ind w:left="635" w:hanging="357"/>
      <w:outlineLvl w:val="2"/>
    </w:pPr>
  </w:style>
  <w:style w:type="paragraph" w:customStyle="1" w:styleId="ECHRTitleCentre2">
    <w:name w:val="ECHR_Title_Centre_2"/>
    <w:aliases w:val="Dec_H_Case"/>
    <w:basedOn w:val="Normale"/>
    <w:next w:val="ECHRPara"/>
    <w:uiPriority w:val="8"/>
    <w:qFormat/>
    <w:rsid w:val="005F14B1"/>
    <w:pPr>
      <w:spacing w:after="240"/>
      <w:jc w:val="center"/>
      <w:outlineLvl w:val="0"/>
    </w:pPr>
    <w:rPr>
      <w:rFonts w:asciiTheme="majorHAnsi" w:hAnsiTheme="majorHAnsi"/>
      <w:i/>
    </w:rPr>
  </w:style>
  <w:style w:type="character" w:styleId="Enfasicorsivo">
    <w:name w:val="Emphasis"/>
    <w:uiPriority w:val="99"/>
    <w:semiHidden/>
    <w:qFormat/>
    <w:rsid w:val="005F14B1"/>
    <w:rPr>
      <w:b/>
      <w:bCs/>
      <w:i/>
      <w:iCs/>
      <w:spacing w:val="10"/>
      <w:bdr w:val="none" w:sz="0" w:space="0" w:color="auto"/>
      <w:shd w:val="clear" w:color="auto" w:fill="auto"/>
    </w:rPr>
  </w:style>
  <w:style w:type="paragraph" w:styleId="Pidipagina">
    <w:name w:val="footer"/>
    <w:basedOn w:val="Normale"/>
    <w:link w:val="PidipaginaCarattere"/>
    <w:uiPriority w:val="57"/>
    <w:semiHidden/>
    <w:rsid w:val="00D43F5E"/>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43F5E"/>
    <w:rPr>
      <w:sz w:val="24"/>
    </w:rPr>
  </w:style>
  <w:style w:type="character" w:styleId="Rimandonotaapidipagina">
    <w:name w:val="footnote reference"/>
    <w:basedOn w:val="Carpredefinitoparagrafo"/>
    <w:uiPriority w:val="99"/>
    <w:semiHidden/>
    <w:rsid w:val="00D43F5E"/>
    <w:rPr>
      <w:vertAlign w:val="superscript"/>
    </w:rPr>
  </w:style>
  <w:style w:type="paragraph" w:styleId="Testonotaapidipagina">
    <w:name w:val="footnote text"/>
    <w:basedOn w:val="Normale"/>
    <w:link w:val="TestonotaapidipaginaCarattere"/>
    <w:uiPriority w:val="99"/>
    <w:semiHidden/>
    <w:rsid w:val="00D43F5E"/>
    <w:rPr>
      <w:sz w:val="20"/>
      <w:szCs w:val="20"/>
    </w:rPr>
  </w:style>
  <w:style w:type="character" w:customStyle="1" w:styleId="TestonotaapidipaginaCarattere">
    <w:name w:val="Testo nota a piè di pagina Carattere"/>
    <w:basedOn w:val="Carpredefinitoparagrafo"/>
    <w:link w:val="Testonotaapidipagina"/>
    <w:uiPriority w:val="99"/>
    <w:semiHidden/>
    <w:rsid w:val="00D43F5E"/>
    <w:rPr>
      <w:rFonts w:eastAsiaTheme="minorEastAsia"/>
      <w:sz w:val="20"/>
      <w:szCs w:val="20"/>
    </w:rPr>
  </w:style>
  <w:style w:type="character" w:customStyle="1" w:styleId="Titolo6Carattere">
    <w:name w:val="Titolo 6 Carattere"/>
    <w:basedOn w:val="Carpredefinitoparagrafo"/>
    <w:link w:val="Titolo6"/>
    <w:uiPriority w:val="99"/>
    <w:semiHidden/>
    <w:rsid w:val="00D43F5E"/>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5F14B1"/>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5F14B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F14B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D43F5E"/>
    <w:rPr>
      <w:color w:val="0072BC" w:themeColor="hyperlink"/>
      <w:u w:val="single"/>
    </w:rPr>
  </w:style>
  <w:style w:type="character" w:styleId="Enfasiintensa">
    <w:name w:val="Intense Emphasis"/>
    <w:uiPriority w:val="99"/>
    <w:semiHidden/>
    <w:qFormat/>
    <w:rsid w:val="005F14B1"/>
    <w:rPr>
      <w:b/>
      <w:bCs/>
    </w:rPr>
  </w:style>
  <w:style w:type="paragraph" w:styleId="Citazioneintensa">
    <w:name w:val="Intense Quote"/>
    <w:basedOn w:val="Normale"/>
    <w:next w:val="Normale"/>
    <w:link w:val="CitazioneintensaCarattere"/>
    <w:uiPriority w:val="99"/>
    <w:semiHidden/>
    <w:qFormat/>
    <w:rsid w:val="005F14B1"/>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5F14B1"/>
    <w:rPr>
      <w:rFonts w:eastAsiaTheme="minorEastAsia"/>
      <w:b/>
      <w:bCs/>
      <w:i/>
      <w:iCs/>
      <w:lang w:bidi="en-US"/>
    </w:rPr>
  </w:style>
  <w:style w:type="character" w:styleId="Riferimentointenso">
    <w:name w:val="Intense Reference"/>
    <w:uiPriority w:val="99"/>
    <w:semiHidden/>
    <w:qFormat/>
    <w:rsid w:val="005F14B1"/>
    <w:rPr>
      <w:smallCaps/>
      <w:spacing w:val="5"/>
      <w:u w:val="single"/>
    </w:rPr>
  </w:style>
  <w:style w:type="paragraph" w:styleId="Paragrafoelenco">
    <w:name w:val="List Paragraph"/>
    <w:basedOn w:val="Normale"/>
    <w:uiPriority w:val="99"/>
    <w:semiHidden/>
    <w:qFormat/>
    <w:rsid w:val="005F14B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5F14B1"/>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5F14B1"/>
    <w:rPr>
      <w:rFonts w:eastAsiaTheme="minorEastAsia"/>
      <w:i/>
      <w:iCs/>
      <w:lang w:bidi="en-US"/>
    </w:rPr>
  </w:style>
  <w:style w:type="character" w:styleId="Riferimentodelicato">
    <w:name w:val="Subtle Reference"/>
    <w:uiPriority w:val="99"/>
    <w:semiHidden/>
    <w:qFormat/>
    <w:rsid w:val="005F14B1"/>
    <w:rPr>
      <w:smallCaps/>
    </w:rPr>
  </w:style>
  <w:style w:type="table" w:styleId="Grigliatabella">
    <w:name w:val="Table Grid"/>
    <w:basedOn w:val="Tabellanormale"/>
    <w:uiPriority w:val="59"/>
    <w:semiHidden/>
    <w:rsid w:val="00D43F5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43F5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43F5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43F5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43F5E"/>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43F5E"/>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5F14B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43F5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a0">
    <w:name w:val="Opi_H_a"/>
    <w:basedOn w:val="ECHRHeading3"/>
    <w:uiPriority w:val="43"/>
    <w:semiHidden/>
    <w:qFormat/>
    <w:rsid w:val="005F14B1"/>
    <w:pPr>
      <w:ind w:left="833" w:hanging="357"/>
      <w:outlineLvl w:val="3"/>
    </w:pPr>
    <w:rPr>
      <w:b/>
      <w:i w:val="0"/>
      <w:sz w:val="20"/>
    </w:rPr>
  </w:style>
  <w:style w:type="paragraph" w:customStyle="1" w:styleId="OpiHi">
    <w:name w:val="Opi_H_i"/>
    <w:basedOn w:val="ECHRHeading4"/>
    <w:uiPriority w:val="44"/>
    <w:semiHidden/>
    <w:qFormat/>
    <w:rsid w:val="005F14B1"/>
    <w:pPr>
      <w:ind w:left="1037" w:hanging="357"/>
      <w:outlineLvl w:val="4"/>
    </w:pPr>
    <w:rPr>
      <w:b w:val="0"/>
      <w:i/>
    </w:rPr>
  </w:style>
  <w:style w:type="paragraph" w:styleId="Sottotitolo">
    <w:name w:val="Subtitle"/>
    <w:basedOn w:val="Normale"/>
    <w:next w:val="Normale"/>
    <w:link w:val="SottotitoloCarattere"/>
    <w:uiPriority w:val="99"/>
    <w:semiHidden/>
    <w:qFormat/>
    <w:rsid w:val="005F14B1"/>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5F14B1"/>
    <w:pPr>
      <w:ind w:firstLine="284"/>
    </w:pPr>
  </w:style>
  <w:style w:type="character" w:customStyle="1" w:styleId="SottotitoloCarattere">
    <w:name w:val="Sottotitolo Carattere"/>
    <w:basedOn w:val="Carpredefinitoparagrafo"/>
    <w:link w:val="Sottotitolo"/>
    <w:uiPriority w:val="99"/>
    <w:semiHidden/>
    <w:rsid w:val="005F14B1"/>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43F5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5F14B1"/>
    <w:pPr>
      <w:tabs>
        <w:tab w:val="center" w:pos="851"/>
        <w:tab w:val="center" w:pos="6407"/>
      </w:tabs>
      <w:spacing w:before="720"/>
      <w:jc w:val="left"/>
    </w:pPr>
  </w:style>
  <w:style w:type="paragraph" w:customStyle="1" w:styleId="DummyStyle">
    <w:name w:val="Dummy_Style"/>
    <w:basedOn w:val="Normale"/>
    <w:semiHidden/>
    <w:qFormat/>
    <w:rsid w:val="005F14B1"/>
    <w:rPr>
      <w:color w:val="00B050"/>
    </w:rPr>
  </w:style>
  <w:style w:type="paragraph" w:customStyle="1" w:styleId="DecHTitle">
    <w:name w:val="Dec_H_Title"/>
    <w:basedOn w:val="ECHRTitleCentre1"/>
    <w:uiPriority w:val="7"/>
    <w:qFormat/>
    <w:rsid w:val="005F14B1"/>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D43F5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43F5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43F5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JuHeaderLandscape">
    <w:name w:val="Ju_Header_Landscape"/>
    <w:basedOn w:val="ECHRHeader"/>
    <w:uiPriority w:val="4"/>
    <w:qFormat/>
    <w:rsid w:val="005F14B1"/>
    <w:pPr>
      <w:tabs>
        <w:tab w:val="clear" w:pos="3686"/>
        <w:tab w:val="clear" w:pos="7371"/>
        <w:tab w:val="center" w:pos="6146"/>
        <w:tab w:val="right" w:pos="12293"/>
      </w:tabs>
    </w:pPr>
  </w:style>
  <w:style w:type="paragraph" w:customStyle="1" w:styleId="ECHRFooter">
    <w:name w:val="ECHR_Footer"/>
    <w:aliases w:val="Footer_ECHR"/>
    <w:basedOn w:val="Pidipagina"/>
    <w:uiPriority w:val="57"/>
    <w:semiHidden/>
    <w:rsid w:val="00D43F5E"/>
    <w:pPr>
      <w:jc w:val="left"/>
    </w:pPr>
    <w:rPr>
      <w:sz w:val="8"/>
    </w:rPr>
  </w:style>
  <w:style w:type="paragraph" w:customStyle="1" w:styleId="ECHRFooterLine">
    <w:name w:val="ECHR_Footer_Line"/>
    <w:aliases w:val="Footer_Line"/>
    <w:basedOn w:val="Normale"/>
    <w:next w:val="ECHRFooter"/>
    <w:uiPriority w:val="57"/>
    <w:semiHidden/>
    <w:rsid w:val="00D43F5E"/>
    <w:pPr>
      <w:pBdr>
        <w:top w:val="single" w:sz="6" w:space="1" w:color="5F5F5F"/>
      </w:pBdr>
      <w:tabs>
        <w:tab w:val="center" w:pos="4536"/>
        <w:tab w:val="right" w:pos="9696"/>
      </w:tabs>
      <w:ind w:left="-680" w:right="-680"/>
      <w:jc w:val="left"/>
    </w:pPr>
    <w:rPr>
      <w:color w:val="5F5F5F"/>
    </w:rPr>
  </w:style>
  <w:style w:type="character" w:customStyle="1" w:styleId="ECHRParaChar">
    <w:name w:val="ECHR_Para Char"/>
    <w:aliases w:val="Ju_Para Char"/>
    <w:link w:val="ECHRPara"/>
    <w:uiPriority w:val="12"/>
    <w:rsid w:val="008B783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1DF7-F7B2-4856-9519-B21370F71E83}">
  <ds:schemaRefs>
    <ds:schemaRef ds:uri="http://schemas.microsoft.com/sharepoint/v3/contenttype/forms"/>
  </ds:schemaRefs>
</ds:datastoreItem>
</file>

<file path=customXml/itemProps2.xml><?xml version="1.0" encoding="utf-8"?>
<ds:datastoreItem xmlns:ds="http://schemas.openxmlformats.org/officeDocument/2006/customXml" ds:itemID="{A6D5E0C7-9E08-4070-B256-4BDE44997C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4E35B-BEEE-41AE-BC94-A069EDF15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17F23F0-0F48-4492-AE2F-3F5F542B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12760</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2016-11-09T14:44:00Z</dcterms:created>
  <dcterms:modified xsi:type="dcterms:W3CDTF">2016-11-09T14:44:00Z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